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884F" w14:textId="4D63ACF3"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40A79">
        <w:rPr>
          <w:rFonts w:cs="Arial"/>
          <w:b/>
          <w:sz w:val="22"/>
          <w:lang w:val="en-US"/>
        </w:rPr>
        <w:t>119</w:t>
      </w:r>
      <w:r w:rsidR="00F40A79">
        <w:rPr>
          <w:rFonts w:cs="Arial" w:hint="eastAsia"/>
          <w:b/>
          <w:sz w:val="22"/>
          <w:lang w:val="en-US" w:eastAsia="zh-CN"/>
        </w:rPr>
        <w:t>bis</w:t>
      </w:r>
      <w:r w:rsidR="008D17D0" w:rsidRPr="00A16DF9">
        <w:rPr>
          <w:rFonts w:cs="Arial"/>
          <w:b/>
          <w:i/>
          <w:sz w:val="22"/>
          <w:lang w:val="en-US"/>
        </w:rPr>
        <w:tab/>
      </w:r>
      <w:r w:rsidR="005B3B9E">
        <w:rPr>
          <w:rFonts w:cs="Arial"/>
          <w:b/>
          <w:i/>
          <w:sz w:val="22"/>
          <w:lang w:val="en-US"/>
        </w:rPr>
        <w:t>R2-22</w:t>
      </w:r>
      <w:r w:rsidR="00F40A79">
        <w:rPr>
          <w:rFonts w:cs="Arial"/>
          <w:b/>
          <w:i/>
          <w:sz w:val="22"/>
          <w:lang w:val="en-US" w:eastAsia="zh-CN"/>
        </w:rPr>
        <w:t>09495</w:t>
      </w:r>
    </w:p>
    <w:p w14:paraId="61DDF1B9" w14:textId="0EE1D9BE"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F40A79">
        <w:rPr>
          <w:rFonts w:cs="Arial"/>
          <w:b/>
          <w:sz w:val="22"/>
          <w:szCs w:val="22"/>
          <w:lang w:val="en-US"/>
        </w:rPr>
        <w:t>O</w:t>
      </w:r>
      <w:r w:rsidR="00F40A79">
        <w:rPr>
          <w:rFonts w:cs="Arial" w:hint="eastAsia"/>
          <w:b/>
          <w:sz w:val="22"/>
          <w:szCs w:val="22"/>
          <w:lang w:val="en-US"/>
        </w:rPr>
        <w:t>ct</w:t>
      </w:r>
      <w:r w:rsidR="00F40A79">
        <w:rPr>
          <w:rFonts w:cs="Arial"/>
          <w:b/>
          <w:sz w:val="22"/>
          <w:szCs w:val="22"/>
          <w:lang w:val="en-US"/>
        </w:rPr>
        <w:t>.</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1A8F3ACC"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3CF6FDE" w14:textId="28300973" w:rsidR="008D17D0" w:rsidRDefault="008D17D0" w:rsidP="008D17D0">
      <w:pPr>
        <w:pStyle w:val="3GPPHeader"/>
        <w:rPr>
          <w:sz w:val="22"/>
          <w:szCs w:val="22"/>
        </w:rPr>
      </w:pPr>
      <w:r>
        <w:rPr>
          <w:sz w:val="22"/>
          <w:szCs w:val="22"/>
        </w:rPr>
        <w:t>Agenda Item:</w:t>
      </w:r>
      <w:r>
        <w:rPr>
          <w:sz w:val="22"/>
          <w:szCs w:val="22"/>
        </w:rPr>
        <w:tab/>
      </w:r>
      <w:r w:rsidR="00CC6836">
        <w:rPr>
          <w:sz w:val="22"/>
          <w:szCs w:val="22"/>
        </w:rPr>
        <w:t>6.0.2</w:t>
      </w:r>
    </w:p>
    <w:p w14:paraId="48033D43"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3F521439" w14:textId="16D6ABFB" w:rsidR="008D17D0" w:rsidRDefault="008D17D0" w:rsidP="008D17D0">
      <w:pPr>
        <w:pStyle w:val="3GPPHeader"/>
        <w:rPr>
          <w:sz w:val="22"/>
          <w:szCs w:val="22"/>
        </w:rPr>
      </w:pPr>
      <w:r>
        <w:rPr>
          <w:sz w:val="22"/>
          <w:szCs w:val="22"/>
        </w:rPr>
        <w:t>Title:</w:t>
      </w:r>
      <w:r>
        <w:rPr>
          <w:sz w:val="22"/>
          <w:szCs w:val="22"/>
        </w:rPr>
        <w:tab/>
      </w:r>
      <w:r w:rsidR="00C37222">
        <w:rPr>
          <w:sz w:val="22"/>
          <w:szCs w:val="22"/>
        </w:rPr>
        <w:t>Discussion on per FR gap UE capability</w:t>
      </w:r>
    </w:p>
    <w:p w14:paraId="4ADEA33A" w14:textId="77777777" w:rsidR="008D17D0" w:rsidRDefault="008D17D0" w:rsidP="008D17D0">
      <w:pPr>
        <w:pStyle w:val="3GPPHeader"/>
      </w:pPr>
      <w:r>
        <w:rPr>
          <w:sz w:val="22"/>
          <w:szCs w:val="22"/>
        </w:rPr>
        <w:t>Document for:</w:t>
      </w:r>
      <w:r>
        <w:rPr>
          <w:sz w:val="22"/>
          <w:szCs w:val="22"/>
        </w:rPr>
        <w:tab/>
        <w:t>Discussion, Decision</w:t>
      </w:r>
    </w:p>
    <w:p w14:paraId="5A28BDB6" w14:textId="77777777" w:rsidR="008D17D0" w:rsidRDefault="008D17D0" w:rsidP="008D17D0">
      <w:pPr>
        <w:pStyle w:val="1"/>
      </w:pPr>
      <w:bookmarkStart w:id="4" w:name="_Ref488331639"/>
      <w:r>
        <w:t>Introduction</w:t>
      </w:r>
      <w:bookmarkEnd w:id="4"/>
    </w:p>
    <w:p w14:paraId="4014267F" w14:textId="1589D4B5" w:rsidR="00562F3B" w:rsidRDefault="00562F3B" w:rsidP="008D17D0">
      <w:pPr>
        <w:pStyle w:val="a7"/>
        <w:spacing w:before="120"/>
      </w:pPr>
      <w:r>
        <w:rPr>
          <w:rFonts w:hint="eastAsia"/>
        </w:rPr>
        <w:t>T</w:t>
      </w:r>
      <w:r>
        <w:t xml:space="preserve">he current granularity of UE capability on per FR measurement gap </w:t>
      </w:r>
      <w:proofErr w:type="gramStart"/>
      <w:r>
        <w:t>i.e.</w:t>
      </w:r>
      <w:proofErr w:type="gramEnd"/>
      <w:r w:rsidRPr="00562F3B">
        <w:t xml:space="preserve"> </w:t>
      </w:r>
      <w:proofErr w:type="spellStart"/>
      <w:r w:rsidRPr="00562F3B">
        <w:rPr>
          <w:i/>
          <w:iCs/>
        </w:rPr>
        <w:t>independentGapConfig</w:t>
      </w:r>
      <w:proofErr w:type="spellEnd"/>
      <w:r>
        <w:t xml:space="preserve"> is a per UE capability.</w:t>
      </w:r>
      <w:r w:rsidR="00EF435A">
        <w:t xml:space="preserve"> As explained in [2] the assumption that FR2 always has its independent hardware could be not valid anymore due to more and more hardware sharing. </w:t>
      </w:r>
      <w:proofErr w:type="gramStart"/>
      <w:r w:rsidR="00EF435A">
        <w:t>So</w:t>
      </w:r>
      <w:proofErr w:type="gramEnd"/>
      <w:r w:rsidR="00EF435A">
        <w:t xml:space="preserve"> it is possible that UE may not be able to support it in high order CA</w:t>
      </w:r>
      <w:r w:rsidR="00E901A4">
        <w:rPr>
          <w:rFonts w:hint="eastAsia"/>
        </w:rPr>
        <w:t>/</w:t>
      </w:r>
      <w:r w:rsidR="00E901A4">
        <w:t>DC</w:t>
      </w:r>
      <w:r w:rsidR="00EF435A">
        <w:t xml:space="preserve"> combination, but could support it in low order CA</w:t>
      </w:r>
      <w:r w:rsidR="00E901A4">
        <w:rPr>
          <w:rFonts w:hint="eastAsia"/>
        </w:rPr>
        <w:t>/</w:t>
      </w:r>
      <w:r w:rsidR="00E901A4">
        <w:t>DC</w:t>
      </w:r>
      <w:r w:rsidR="00EF435A">
        <w:t xml:space="preserve"> combination.</w:t>
      </w:r>
    </w:p>
    <w:p w14:paraId="6802E08E" w14:textId="15A9F099" w:rsidR="008874AD" w:rsidRDefault="00EF435A" w:rsidP="008D17D0">
      <w:pPr>
        <w:pStyle w:val="a7"/>
        <w:spacing w:before="120"/>
      </w:pPr>
      <w:r>
        <w:rPr>
          <w:rFonts w:hint="eastAsia"/>
        </w:rPr>
        <w:t>D</w:t>
      </w:r>
      <w:r>
        <w:t>uring RAN#97 this issue is raised</w:t>
      </w:r>
      <w:r w:rsidR="003F6741">
        <w:t xml:space="preserve"> </w:t>
      </w:r>
      <w:r w:rsidR="00CC6836">
        <w:t>for</w:t>
      </w:r>
      <w:r w:rsidR="003F6741">
        <w:t xml:space="preserve"> 2</w:t>
      </w:r>
      <w:r w:rsidR="003F6741" w:rsidRPr="003F6741">
        <w:rPr>
          <w:vertAlign w:val="superscript"/>
        </w:rPr>
        <w:t>nd</w:t>
      </w:r>
      <w:r w:rsidR="003F6741">
        <w:t xml:space="preserve"> time</w:t>
      </w:r>
      <w:r>
        <w:t xml:space="preserve"> and there are also several solutions [2][3][4] on the table. Finally RAN confirm the intention to introduce finer granularity UE capability, but task RAN2 to develop technical solution for further check in RAN#98 </w:t>
      </w:r>
      <w:proofErr w:type="gramStart"/>
      <w:r>
        <w:t>i.e.</w:t>
      </w:r>
      <w:proofErr w:type="gramEnd"/>
      <w:r>
        <w:t xml:space="preserve"> RAN2 need provide a solution with technical endorsed CR. Here are the conclusions in [1]:</w:t>
      </w:r>
    </w:p>
    <w:p w14:paraId="4A2E61B7" w14:textId="4611E651" w:rsidR="009F2624" w:rsidRDefault="009F2624" w:rsidP="008D17D0">
      <w:pPr>
        <w:pStyle w:val="a7"/>
        <w:spacing w:before="120"/>
      </w:pPr>
      <w:r>
        <w:rPr>
          <w:noProof/>
        </w:rPr>
        <w:drawing>
          <wp:inline distT="0" distB="0" distL="0" distR="0" wp14:anchorId="37BD82CD" wp14:editId="5BD87372">
            <wp:extent cx="6120765" cy="3195320"/>
            <wp:effectExtent l="0" t="0" r="0" b="5080"/>
            <wp:docPr id="1" name="图片 1" descr="图形用户界面, 文本, 应用程序,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 日程表&#10;&#10;描述已自动生成"/>
                    <pic:cNvPicPr/>
                  </pic:nvPicPr>
                  <pic:blipFill>
                    <a:blip r:embed="rId7"/>
                    <a:stretch>
                      <a:fillRect/>
                    </a:stretch>
                  </pic:blipFill>
                  <pic:spPr>
                    <a:xfrm>
                      <a:off x="0" y="0"/>
                      <a:ext cx="6120765" cy="3195320"/>
                    </a:xfrm>
                    <a:prstGeom prst="rect">
                      <a:avLst/>
                    </a:prstGeom>
                  </pic:spPr>
                </pic:pic>
              </a:graphicData>
            </a:graphic>
          </wp:inline>
        </w:drawing>
      </w:r>
    </w:p>
    <w:p w14:paraId="11000C5D" w14:textId="79F70F57" w:rsidR="00C2144A" w:rsidRDefault="009F2624" w:rsidP="008D17D0">
      <w:pPr>
        <w:pStyle w:val="a7"/>
        <w:spacing w:before="120"/>
      </w:pPr>
      <w:r>
        <w:rPr>
          <w:rFonts w:hint="eastAsia"/>
        </w:rPr>
        <w:t>T</w:t>
      </w:r>
      <w:r>
        <w:t>his paper compare</w:t>
      </w:r>
      <w:r w:rsidR="003F6741">
        <w:t>s</w:t>
      </w:r>
      <w:r>
        <w:t xml:space="preserve"> the pros and cons of the solutions on the table and recommend RAN2 to adopt </w:t>
      </w:r>
      <w:proofErr w:type="spellStart"/>
      <w:r>
        <w:t>need</w:t>
      </w:r>
      <w:r w:rsidR="003F6741">
        <w:t>ForG</w:t>
      </w:r>
      <w:r>
        <w:t>ap</w:t>
      </w:r>
      <w:proofErr w:type="spellEnd"/>
      <w:r>
        <w:t xml:space="preserve"> based solution.</w:t>
      </w:r>
    </w:p>
    <w:p w14:paraId="516DA7F0" w14:textId="0CA1E403" w:rsidR="00D40785" w:rsidRDefault="00D40785" w:rsidP="00D40785">
      <w:pPr>
        <w:pStyle w:val="1"/>
      </w:pPr>
      <w:r>
        <w:rPr>
          <w:rFonts w:hint="eastAsia"/>
        </w:rPr>
        <w:t>D</w:t>
      </w:r>
      <w:r>
        <w:t>iscussion</w:t>
      </w:r>
      <w:r w:rsidR="00E73BC6">
        <w:t xml:space="preserve"> on alternatives</w:t>
      </w:r>
    </w:p>
    <w:p w14:paraId="76D081CB" w14:textId="6AFD8F9E" w:rsidR="00D40785" w:rsidRDefault="004D01C1" w:rsidP="00D40785">
      <w:r>
        <w:t>As indicated by the conclusion F3 in [1] the main solutions on the table are:</w:t>
      </w:r>
    </w:p>
    <w:p w14:paraId="1C7B8EB2" w14:textId="1F6CDFCE" w:rsidR="004D01C1" w:rsidRDefault="004D01C1" w:rsidP="00D40785">
      <w:r>
        <w:rPr>
          <w:rFonts w:hint="eastAsia"/>
        </w:rPr>
        <w:t>A</w:t>
      </w:r>
      <w:r>
        <w:t>lt1.1 [2]: to introduce a neper band combination UE capability</w:t>
      </w:r>
    </w:p>
    <w:p w14:paraId="2ED2A9B2" w14:textId="59D09449" w:rsidR="004D01C1" w:rsidRDefault="004D01C1" w:rsidP="00D40785">
      <w:r>
        <w:t>Alt 1.3</w:t>
      </w:r>
      <w:r w:rsidR="00F917BA">
        <w:t xml:space="preserve"> </w:t>
      </w:r>
      <w:r>
        <w:t>[4]: a band combination can’t support per FR measurement gap if the total number of carriers are above one reported threshold “N”</w:t>
      </w:r>
      <w:r w:rsidR="00D85A97">
        <w:t xml:space="preserve"> by the UE, otherwise the band combination </w:t>
      </w:r>
      <w:proofErr w:type="gramStart"/>
      <w:r w:rsidR="00D85A97">
        <w:t>follow</w:t>
      </w:r>
      <w:proofErr w:type="gramEnd"/>
      <w:r w:rsidR="00D85A97">
        <w:t xml:space="preserve"> existing UE capability i.e. </w:t>
      </w:r>
      <w:proofErr w:type="spellStart"/>
      <w:r w:rsidR="00D85A97" w:rsidRPr="00562F3B">
        <w:rPr>
          <w:i/>
          <w:iCs/>
        </w:rPr>
        <w:t>independentGapConfig</w:t>
      </w:r>
      <w:proofErr w:type="spellEnd"/>
      <w:r w:rsidR="00D85A97">
        <w:t>.</w:t>
      </w:r>
    </w:p>
    <w:p w14:paraId="31D59E65" w14:textId="79FD1738" w:rsidR="00ED2771" w:rsidRDefault="00ED2771" w:rsidP="00D40785">
      <w:r>
        <w:lastRenderedPageBreak/>
        <w:t xml:space="preserve">Alt2: </w:t>
      </w:r>
      <w:proofErr w:type="spellStart"/>
      <w:r>
        <w:t>need</w:t>
      </w:r>
      <w:r w:rsidR="00574C85">
        <w:t>ForG</w:t>
      </w:r>
      <w:r>
        <w:t>ap</w:t>
      </w:r>
      <w:proofErr w:type="spellEnd"/>
      <w:r>
        <w:t xml:space="preserve"> style solution </w:t>
      </w:r>
      <w:proofErr w:type="gramStart"/>
      <w:r>
        <w:t>i.e.</w:t>
      </w:r>
      <w:proofErr w:type="gramEnd"/>
      <w:r>
        <w:t xml:space="preserve"> UE report whether it can support per FR measurement gap based on current carrier configuration.</w:t>
      </w:r>
    </w:p>
    <w:p w14:paraId="3003A204" w14:textId="138754AB" w:rsidR="00ED2771" w:rsidRDefault="00ED2771" w:rsidP="00D40785">
      <w:r>
        <w:t>Few aspects to be considered</w:t>
      </w:r>
      <w:r w:rsidR="00E8528B">
        <w:t xml:space="preserve"> in the following analysis and comparison</w:t>
      </w:r>
      <w:r>
        <w:t>:</w:t>
      </w:r>
    </w:p>
    <w:p w14:paraId="4A6595C4" w14:textId="4CD105B9" w:rsidR="00ED2771" w:rsidRDefault="00ED2771" w:rsidP="00D40785">
      <w:r>
        <w:rPr>
          <w:rFonts w:hint="eastAsia"/>
        </w:rPr>
        <w:t>1</w:t>
      </w:r>
      <w:r>
        <w:t>, backward compatibility issue</w:t>
      </w:r>
    </w:p>
    <w:p w14:paraId="09D56878" w14:textId="6BE6B4EE" w:rsidR="00ED2771" w:rsidRDefault="00ED2771" w:rsidP="00D40785">
      <w:r>
        <w:rPr>
          <w:rFonts w:hint="eastAsia"/>
        </w:rPr>
        <w:t>2</w:t>
      </w:r>
      <w:r>
        <w:t xml:space="preserve">, </w:t>
      </w:r>
      <w:proofErr w:type="spellStart"/>
      <w:r w:rsidR="00005770">
        <w:t>Uu</w:t>
      </w:r>
      <w:proofErr w:type="spellEnd"/>
      <w:r w:rsidR="00005770">
        <w:t xml:space="preserve"> </w:t>
      </w:r>
      <w:r>
        <w:t>signalling overhead</w:t>
      </w:r>
    </w:p>
    <w:p w14:paraId="7936CD94" w14:textId="7168C4BF" w:rsidR="00ED2771" w:rsidRDefault="00ED2771" w:rsidP="00D40785">
      <w:r>
        <w:rPr>
          <w:rFonts w:hint="eastAsia"/>
        </w:rPr>
        <w:t>3</w:t>
      </w:r>
      <w:r>
        <w:t xml:space="preserve">, flexibility of the </w:t>
      </w:r>
      <w:proofErr w:type="spellStart"/>
      <w:r w:rsidR="00005770">
        <w:t>Uu</w:t>
      </w:r>
      <w:proofErr w:type="spellEnd"/>
      <w:r w:rsidR="00005770">
        <w:t xml:space="preserve"> </w:t>
      </w:r>
      <w:r>
        <w:t>signalling</w:t>
      </w:r>
    </w:p>
    <w:p w14:paraId="47850B0C" w14:textId="5B50B9F7" w:rsidR="00F206CA" w:rsidRDefault="00F206CA" w:rsidP="00D40785">
      <w:r>
        <w:rPr>
          <w:rFonts w:hint="eastAsia"/>
        </w:rPr>
        <w:t>4</w:t>
      </w:r>
      <w:r>
        <w:t>, inter-node signal</w:t>
      </w:r>
      <w:r w:rsidR="00005770">
        <w:t>l</w:t>
      </w:r>
      <w:r>
        <w:t>ing</w:t>
      </w:r>
    </w:p>
    <w:p w14:paraId="7CCC9BED" w14:textId="02EAC718" w:rsidR="00ED2771" w:rsidRDefault="00ED2771" w:rsidP="00D40785">
      <w:r>
        <w:t>For alt1</w:t>
      </w:r>
      <w:r w:rsidR="00CF669E">
        <w:t>.1</w:t>
      </w:r>
      <w:r>
        <w:t xml:space="preserve">, if UE supporting this solution can support only partial band combination </w:t>
      </w:r>
      <w:r w:rsidR="004116F1">
        <w:t xml:space="preserve">it has to set legacy UE capability </w:t>
      </w:r>
      <w:proofErr w:type="gramStart"/>
      <w:r w:rsidR="004116F1">
        <w:t>i.e.</w:t>
      </w:r>
      <w:proofErr w:type="gramEnd"/>
      <w:r w:rsidR="004116F1">
        <w:t xml:space="preserve"> </w:t>
      </w:r>
      <w:proofErr w:type="spellStart"/>
      <w:r w:rsidR="004116F1" w:rsidRPr="00562F3B">
        <w:rPr>
          <w:i/>
          <w:iCs/>
        </w:rPr>
        <w:t>independentGapConfig</w:t>
      </w:r>
      <w:proofErr w:type="spellEnd"/>
      <w:r w:rsidR="004116F1">
        <w:t xml:space="preserve"> to be False but set some of the band combinations to be True. When it is connected to legacy </w:t>
      </w:r>
      <w:proofErr w:type="spellStart"/>
      <w:r w:rsidR="004116F1">
        <w:t>gNB</w:t>
      </w:r>
      <w:proofErr w:type="spellEnd"/>
      <w:r w:rsidR="004116F1">
        <w:t xml:space="preserve">, the legacy </w:t>
      </w:r>
      <w:proofErr w:type="spellStart"/>
      <w:r w:rsidR="004116F1">
        <w:t>gNB</w:t>
      </w:r>
      <w:proofErr w:type="spellEnd"/>
      <w:r w:rsidR="004116F1">
        <w:t xml:space="preserve"> will interpret that it can’t support per FR measurement gap at all. When it is connected to new </w:t>
      </w:r>
      <w:proofErr w:type="spellStart"/>
      <w:r w:rsidR="004116F1">
        <w:t>gNB</w:t>
      </w:r>
      <w:proofErr w:type="spellEnd"/>
      <w:r w:rsidR="004116F1">
        <w:t xml:space="preserve">, </w:t>
      </w:r>
      <w:proofErr w:type="spellStart"/>
      <w:r w:rsidR="004116F1">
        <w:t>gNB</w:t>
      </w:r>
      <w:proofErr w:type="spellEnd"/>
      <w:r w:rsidR="004116F1">
        <w:t xml:space="preserve"> will interpret based on newly introduced per BC capability hence there is no inter-operability issue.</w:t>
      </w:r>
      <w:r w:rsidR="00CF669E">
        <w:t xml:space="preserve"> In short alt1.1 is backwards compatible solution. The main problem of this solution is its signalling overhead. This is not only because it is per BC UE capability but also it is necessary to report a fallback combination separately in case its upper order band combination doesn’t support per FR measurement gap</w:t>
      </w:r>
      <w:r w:rsidR="00637C47">
        <w:t xml:space="preserve"> </w:t>
      </w:r>
      <w:proofErr w:type="gramStart"/>
      <w:r w:rsidR="00637C47">
        <w:t>i.e.</w:t>
      </w:r>
      <w:proofErr w:type="gramEnd"/>
      <w:r w:rsidR="00637C47">
        <w:t xml:space="preserve"> fallback rule doesn’t applies when a band combination doesn’t support per FR measurement gap.</w:t>
      </w:r>
      <w:r w:rsidR="00F206CA">
        <w:t xml:space="preserve"> Because of the same issue, when the number of configured component carrier in another cell group is reduced it is possible that per FR measurement gap is feasible afterwards hence some inter-Node message exchange is also necessary.</w:t>
      </w:r>
    </w:p>
    <w:p w14:paraId="03E4A50F" w14:textId="589A5474" w:rsidR="00F9249E" w:rsidRDefault="00F9249E" w:rsidP="00D40785">
      <w:r>
        <w:rPr>
          <w:rFonts w:hint="eastAsia"/>
        </w:rPr>
        <w:t>F</w:t>
      </w:r>
      <w:r>
        <w:t xml:space="preserve">or alt1.3, it only makes sense for UEs who will set </w:t>
      </w:r>
      <w:proofErr w:type="spellStart"/>
      <w:r w:rsidRPr="00562F3B">
        <w:rPr>
          <w:i/>
          <w:iCs/>
        </w:rPr>
        <w:t>independentGapConfig</w:t>
      </w:r>
      <w:proofErr w:type="spellEnd"/>
      <w:r>
        <w:t xml:space="preserve"> to be True. The new </w:t>
      </w:r>
      <w:proofErr w:type="spellStart"/>
      <w:r>
        <w:t>gNB</w:t>
      </w:r>
      <w:proofErr w:type="spellEnd"/>
      <w:r>
        <w:t xml:space="preserve"> will interpret the UE capability based on another reported parameter N hence it works. But the new parameter N is invisible for legacy </w:t>
      </w:r>
      <w:proofErr w:type="spellStart"/>
      <w:r>
        <w:t>gNB</w:t>
      </w:r>
      <w:proofErr w:type="spellEnd"/>
      <w:r>
        <w:t xml:space="preserve"> hence it will interpret UE can support it for all band combination, which is not the intention of this solution. </w:t>
      </w:r>
      <w:proofErr w:type="gramStart"/>
      <w:r>
        <w:t>Therefore</w:t>
      </w:r>
      <w:proofErr w:type="gramEnd"/>
      <w:r>
        <w:t xml:space="preserve"> solution alt1.3 is not backwards compatible.</w:t>
      </w:r>
      <w:r w:rsidR="006F6C31">
        <w:t xml:space="preserve"> Another problem for this solution is that it is bit risky to rely on the number of carriers only. For </w:t>
      </w:r>
      <w:proofErr w:type="gramStart"/>
      <w:r w:rsidR="006F6C31">
        <w:t>example</w:t>
      </w:r>
      <w:proofErr w:type="gramEnd"/>
      <w:r w:rsidR="006F6C31">
        <w:t xml:space="preserve"> we have a band combination {band A, band B, band C}, where band A and B are FR1 band while band C is FR2 band.</w:t>
      </w:r>
      <w:r w:rsidR="009C6B1C">
        <w:t xml:space="preserve"> When network release carrier of band B, UE may not be able to support per FR measurement gap, but it may be able to do it when carrier of band C is released. </w:t>
      </w:r>
      <w:proofErr w:type="gramStart"/>
      <w:r w:rsidR="00AE4DDE">
        <w:t>As long as</w:t>
      </w:r>
      <w:proofErr w:type="gramEnd"/>
      <w:r w:rsidR="00AE4DDE">
        <w:t xml:space="preserve"> configured carriers are &gt;=2, this issue exists, which makes this solution almost not feasible. </w:t>
      </w:r>
    </w:p>
    <w:p w14:paraId="33A6DA5B" w14:textId="20825287" w:rsidR="00AE4DDE" w:rsidRDefault="00AE4DDE" w:rsidP="00D40785">
      <w:r>
        <w:rPr>
          <w:rFonts w:hint="eastAsia"/>
        </w:rPr>
        <w:t>F</w:t>
      </w:r>
      <w:r>
        <w:t xml:space="preserve">or alt 2, on top of current signalling UE can simply report when it can support per FR measurement gap. Or UE can also report whether it can support per FR1 or per FR2 or both measurement gap so that </w:t>
      </w:r>
      <w:proofErr w:type="spellStart"/>
      <w:r>
        <w:t>gNB</w:t>
      </w:r>
      <w:proofErr w:type="spellEnd"/>
      <w:r>
        <w:t xml:space="preserve"> can configure a proper measurement gap.</w:t>
      </w:r>
      <w:r w:rsidR="00464644">
        <w:t xml:space="preserve"> The additional indication(s) is only necessary when UE set </w:t>
      </w:r>
      <w:proofErr w:type="spellStart"/>
      <w:r w:rsidR="00464644" w:rsidRPr="00562F3B">
        <w:rPr>
          <w:i/>
          <w:iCs/>
        </w:rPr>
        <w:t>independentGapConfig</w:t>
      </w:r>
      <w:proofErr w:type="spellEnd"/>
      <w:r w:rsidR="00464644">
        <w:t xml:space="preserve"> to be False. So legacy </w:t>
      </w:r>
      <w:proofErr w:type="spellStart"/>
      <w:r w:rsidR="00464644">
        <w:t>gNB</w:t>
      </w:r>
      <w:proofErr w:type="spellEnd"/>
      <w:r w:rsidR="00464644">
        <w:t xml:space="preserve"> will not configure per FR measurement gap regardless of the new indication. New </w:t>
      </w:r>
      <w:proofErr w:type="spellStart"/>
      <w:r w:rsidR="00464644">
        <w:t>gNB</w:t>
      </w:r>
      <w:proofErr w:type="spellEnd"/>
      <w:r w:rsidR="00464644">
        <w:t xml:space="preserve"> will rely on the new indication only. </w:t>
      </w:r>
      <w:proofErr w:type="gramStart"/>
      <w:r w:rsidR="00464644">
        <w:t>So</w:t>
      </w:r>
      <w:proofErr w:type="gramEnd"/>
      <w:r w:rsidR="00464644">
        <w:t xml:space="preserve"> there is no backward compatibility issue. It is however difficult to compare the overhead of </w:t>
      </w:r>
      <w:proofErr w:type="spellStart"/>
      <w:r w:rsidR="00464644">
        <w:t>Uu</w:t>
      </w:r>
      <w:proofErr w:type="spellEnd"/>
      <w:r w:rsidR="00464644">
        <w:t xml:space="preserve"> signalling overhead </w:t>
      </w:r>
      <w:r w:rsidR="00F40136">
        <w:t xml:space="preserve">with alt1.1 </w:t>
      </w:r>
      <w:r w:rsidR="00464644">
        <w:t>since the new indication maybe reported during a connection</w:t>
      </w:r>
      <w:r w:rsidR="00F40136">
        <w:t xml:space="preserve"> multiple times</w:t>
      </w:r>
      <w:r w:rsidR="00464644">
        <w:t xml:space="preserve"> while UE capability is almost reported only when necessary </w:t>
      </w:r>
      <w:proofErr w:type="gramStart"/>
      <w:r w:rsidR="00464644">
        <w:t>e.g.</w:t>
      </w:r>
      <w:proofErr w:type="gramEnd"/>
      <w:r w:rsidR="00464644">
        <w:t xml:space="preserve"> during registration. But one thing is clear that alt 2 is more flexible compared to alt 1.1. in the sense it</w:t>
      </w:r>
      <w:r w:rsidR="00EE10A4">
        <w:t xml:space="preserve"> can report for all potential fallback cases of one band combination.</w:t>
      </w:r>
      <w:r w:rsidR="00D64427">
        <w:t xml:space="preserve"> Note this solution may not be able to avoid inter-node solution completely since the measurement gap type (per UE or per FR1/2) will change during the connection for any cell group.</w:t>
      </w:r>
    </w:p>
    <w:p w14:paraId="15CB8A03" w14:textId="1F10EB2F" w:rsidR="00D64427" w:rsidRDefault="00D64427" w:rsidP="00D40785">
      <w:r>
        <w:t>Here are the comparison table:</w:t>
      </w:r>
    </w:p>
    <w:tbl>
      <w:tblPr>
        <w:tblStyle w:val="ae"/>
        <w:tblW w:w="0" w:type="auto"/>
        <w:tblInd w:w="704" w:type="dxa"/>
        <w:tblLook w:val="04A0" w:firstRow="1" w:lastRow="0" w:firstColumn="1" w:lastColumn="0" w:noHBand="0" w:noVBand="1"/>
      </w:tblPr>
      <w:tblGrid>
        <w:gridCol w:w="1221"/>
        <w:gridCol w:w="1926"/>
        <w:gridCol w:w="1389"/>
        <w:gridCol w:w="2463"/>
        <w:gridCol w:w="1506"/>
      </w:tblGrid>
      <w:tr w:rsidR="00763CE4" w:rsidRPr="00E73BC6" w14:paraId="35D398AB" w14:textId="77777777" w:rsidTr="00E73BC6">
        <w:tc>
          <w:tcPr>
            <w:tcW w:w="1221" w:type="dxa"/>
          </w:tcPr>
          <w:p w14:paraId="15C24683" w14:textId="33F4CB7E" w:rsidR="00763CE4" w:rsidRPr="00E73BC6" w:rsidRDefault="00763CE4" w:rsidP="00D40785">
            <w:pPr>
              <w:rPr>
                <w:sz w:val="18"/>
                <w:szCs w:val="18"/>
              </w:rPr>
            </w:pPr>
            <w:r w:rsidRPr="00E73BC6">
              <w:rPr>
                <w:sz w:val="18"/>
                <w:szCs w:val="18"/>
              </w:rPr>
              <w:t xml:space="preserve">Solutions </w:t>
            </w:r>
          </w:p>
        </w:tc>
        <w:tc>
          <w:tcPr>
            <w:tcW w:w="1926" w:type="dxa"/>
          </w:tcPr>
          <w:p w14:paraId="5917DC77" w14:textId="577E7811" w:rsidR="00763CE4" w:rsidRPr="00E73BC6" w:rsidRDefault="00763CE4" w:rsidP="00D40785">
            <w:pPr>
              <w:rPr>
                <w:sz w:val="18"/>
                <w:szCs w:val="18"/>
              </w:rPr>
            </w:pPr>
            <w:r w:rsidRPr="00E73BC6">
              <w:rPr>
                <w:sz w:val="18"/>
                <w:szCs w:val="18"/>
              </w:rPr>
              <w:t>Backwards compatibility</w:t>
            </w:r>
          </w:p>
        </w:tc>
        <w:tc>
          <w:tcPr>
            <w:tcW w:w="1389" w:type="dxa"/>
          </w:tcPr>
          <w:p w14:paraId="0371A903" w14:textId="2EC64A9B" w:rsidR="00763CE4" w:rsidRPr="00E73BC6" w:rsidRDefault="00763CE4" w:rsidP="00D40785">
            <w:pPr>
              <w:rPr>
                <w:sz w:val="18"/>
                <w:szCs w:val="18"/>
              </w:rPr>
            </w:pPr>
            <w:proofErr w:type="spellStart"/>
            <w:r w:rsidRPr="00E73BC6">
              <w:rPr>
                <w:rFonts w:hint="eastAsia"/>
                <w:sz w:val="18"/>
                <w:szCs w:val="18"/>
              </w:rPr>
              <w:t>U</w:t>
            </w:r>
            <w:r w:rsidRPr="00E73BC6">
              <w:rPr>
                <w:sz w:val="18"/>
                <w:szCs w:val="18"/>
              </w:rPr>
              <w:t>u</w:t>
            </w:r>
            <w:proofErr w:type="spellEnd"/>
            <w:r w:rsidRPr="00E73BC6">
              <w:rPr>
                <w:sz w:val="18"/>
                <w:szCs w:val="18"/>
              </w:rPr>
              <w:t xml:space="preserve"> signalling overhead</w:t>
            </w:r>
          </w:p>
        </w:tc>
        <w:tc>
          <w:tcPr>
            <w:tcW w:w="2463" w:type="dxa"/>
          </w:tcPr>
          <w:p w14:paraId="3A6D7B28" w14:textId="0828DE66" w:rsidR="00763CE4" w:rsidRPr="00E73BC6" w:rsidRDefault="00763CE4" w:rsidP="00D40785">
            <w:pPr>
              <w:rPr>
                <w:sz w:val="18"/>
                <w:szCs w:val="18"/>
              </w:rPr>
            </w:pPr>
            <w:proofErr w:type="spellStart"/>
            <w:r w:rsidRPr="00E73BC6">
              <w:rPr>
                <w:rFonts w:hint="eastAsia"/>
                <w:sz w:val="18"/>
                <w:szCs w:val="18"/>
              </w:rPr>
              <w:t>U</w:t>
            </w:r>
            <w:r w:rsidRPr="00E73BC6">
              <w:rPr>
                <w:sz w:val="18"/>
                <w:szCs w:val="18"/>
              </w:rPr>
              <w:t>u</w:t>
            </w:r>
            <w:proofErr w:type="spellEnd"/>
            <w:r w:rsidRPr="00E73BC6">
              <w:rPr>
                <w:sz w:val="18"/>
                <w:szCs w:val="18"/>
              </w:rPr>
              <w:t xml:space="preserve"> signalling flexibility</w:t>
            </w:r>
          </w:p>
        </w:tc>
        <w:tc>
          <w:tcPr>
            <w:tcW w:w="1506" w:type="dxa"/>
          </w:tcPr>
          <w:p w14:paraId="151A87AC" w14:textId="65D3AC9B" w:rsidR="00763CE4" w:rsidRPr="00E73BC6" w:rsidRDefault="00763CE4" w:rsidP="00D40785">
            <w:pPr>
              <w:rPr>
                <w:sz w:val="18"/>
                <w:szCs w:val="18"/>
              </w:rPr>
            </w:pPr>
            <w:r w:rsidRPr="00E73BC6">
              <w:rPr>
                <w:sz w:val="18"/>
                <w:szCs w:val="18"/>
              </w:rPr>
              <w:t>Inter-node procedure</w:t>
            </w:r>
          </w:p>
        </w:tc>
      </w:tr>
      <w:tr w:rsidR="00763CE4" w:rsidRPr="00E73BC6" w14:paraId="57A24CE4" w14:textId="77777777" w:rsidTr="00E73BC6">
        <w:tc>
          <w:tcPr>
            <w:tcW w:w="1221" w:type="dxa"/>
          </w:tcPr>
          <w:p w14:paraId="1194A108" w14:textId="3F80E7CC" w:rsidR="00763CE4" w:rsidRPr="00E73BC6" w:rsidRDefault="00763CE4" w:rsidP="00D40785">
            <w:pPr>
              <w:rPr>
                <w:sz w:val="18"/>
                <w:szCs w:val="18"/>
              </w:rPr>
            </w:pPr>
            <w:r w:rsidRPr="00E73BC6">
              <w:rPr>
                <w:sz w:val="18"/>
                <w:szCs w:val="18"/>
              </w:rPr>
              <w:t>Alt 1.1</w:t>
            </w:r>
          </w:p>
        </w:tc>
        <w:tc>
          <w:tcPr>
            <w:tcW w:w="1926" w:type="dxa"/>
          </w:tcPr>
          <w:p w14:paraId="0DF25945" w14:textId="42E4EBBA" w:rsidR="00763CE4" w:rsidRPr="00E73BC6" w:rsidRDefault="00763CE4" w:rsidP="00D40785">
            <w:pPr>
              <w:rPr>
                <w:sz w:val="18"/>
                <w:szCs w:val="18"/>
              </w:rPr>
            </w:pPr>
            <w:r w:rsidRPr="00E73BC6">
              <w:rPr>
                <w:sz w:val="18"/>
                <w:szCs w:val="18"/>
              </w:rPr>
              <w:t>Yes</w:t>
            </w:r>
          </w:p>
        </w:tc>
        <w:tc>
          <w:tcPr>
            <w:tcW w:w="1389" w:type="dxa"/>
          </w:tcPr>
          <w:p w14:paraId="255769BC" w14:textId="1AC142DE" w:rsidR="00763CE4" w:rsidRPr="00E73BC6" w:rsidRDefault="00763CE4" w:rsidP="00D40785">
            <w:pPr>
              <w:rPr>
                <w:sz w:val="18"/>
                <w:szCs w:val="18"/>
              </w:rPr>
            </w:pPr>
            <w:r w:rsidRPr="00E73BC6">
              <w:rPr>
                <w:rFonts w:hint="eastAsia"/>
                <w:sz w:val="18"/>
                <w:szCs w:val="18"/>
              </w:rPr>
              <w:t>h</w:t>
            </w:r>
            <w:r w:rsidRPr="00E73BC6">
              <w:rPr>
                <w:sz w:val="18"/>
                <w:szCs w:val="18"/>
              </w:rPr>
              <w:t>igh</w:t>
            </w:r>
          </w:p>
        </w:tc>
        <w:tc>
          <w:tcPr>
            <w:tcW w:w="2463" w:type="dxa"/>
          </w:tcPr>
          <w:p w14:paraId="25801795" w14:textId="12FE398C" w:rsidR="00763CE4" w:rsidRPr="00E73BC6" w:rsidRDefault="00763CE4" w:rsidP="00D40785">
            <w:pPr>
              <w:rPr>
                <w:sz w:val="18"/>
                <w:szCs w:val="18"/>
              </w:rPr>
            </w:pPr>
            <w:r w:rsidRPr="00E73BC6">
              <w:rPr>
                <w:sz w:val="18"/>
                <w:szCs w:val="18"/>
              </w:rPr>
              <w:t>Per band combination</w:t>
            </w:r>
          </w:p>
        </w:tc>
        <w:tc>
          <w:tcPr>
            <w:tcW w:w="1506" w:type="dxa"/>
          </w:tcPr>
          <w:p w14:paraId="3E157124" w14:textId="2F8D04B7" w:rsidR="00763CE4" w:rsidRPr="00E73BC6" w:rsidRDefault="00763CE4" w:rsidP="00D40785">
            <w:pPr>
              <w:rPr>
                <w:sz w:val="18"/>
                <w:szCs w:val="18"/>
              </w:rPr>
            </w:pPr>
            <w:r w:rsidRPr="00E73BC6">
              <w:rPr>
                <w:rFonts w:hint="eastAsia"/>
                <w:sz w:val="18"/>
                <w:szCs w:val="18"/>
              </w:rPr>
              <w:t>y</w:t>
            </w:r>
            <w:r w:rsidRPr="00E73BC6">
              <w:rPr>
                <w:sz w:val="18"/>
                <w:szCs w:val="18"/>
              </w:rPr>
              <w:t>es</w:t>
            </w:r>
          </w:p>
        </w:tc>
      </w:tr>
      <w:tr w:rsidR="00763CE4" w:rsidRPr="00E73BC6" w14:paraId="0D802435" w14:textId="77777777" w:rsidTr="00E73BC6">
        <w:tc>
          <w:tcPr>
            <w:tcW w:w="1221" w:type="dxa"/>
          </w:tcPr>
          <w:p w14:paraId="086CA65E" w14:textId="387F4468" w:rsidR="00763CE4" w:rsidRPr="00E73BC6" w:rsidRDefault="00763CE4" w:rsidP="00D40785">
            <w:pPr>
              <w:rPr>
                <w:sz w:val="18"/>
                <w:szCs w:val="18"/>
              </w:rPr>
            </w:pPr>
            <w:r w:rsidRPr="00E73BC6">
              <w:rPr>
                <w:sz w:val="18"/>
                <w:szCs w:val="18"/>
              </w:rPr>
              <w:t>Alt 1.3</w:t>
            </w:r>
          </w:p>
        </w:tc>
        <w:tc>
          <w:tcPr>
            <w:tcW w:w="1926" w:type="dxa"/>
          </w:tcPr>
          <w:p w14:paraId="4B3707F7" w14:textId="6E2434B5" w:rsidR="00763CE4" w:rsidRPr="00E73BC6" w:rsidRDefault="00763CE4" w:rsidP="00D40785">
            <w:pPr>
              <w:rPr>
                <w:sz w:val="18"/>
                <w:szCs w:val="18"/>
              </w:rPr>
            </w:pPr>
            <w:r w:rsidRPr="00E73BC6">
              <w:rPr>
                <w:sz w:val="18"/>
                <w:szCs w:val="18"/>
                <w:highlight w:val="red"/>
              </w:rPr>
              <w:t>No</w:t>
            </w:r>
          </w:p>
        </w:tc>
        <w:tc>
          <w:tcPr>
            <w:tcW w:w="1389" w:type="dxa"/>
          </w:tcPr>
          <w:p w14:paraId="193961D4" w14:textId="2F94388B" w:rsidR="00763CE4" w:rsidRPr="00E73BC6" w:rsidRDefault="00763CE4" w:rsidP="00D40785">
            <w:pPr>
              <w:rPr>
                <w:sz w:val="18"/>
                <w:szCs w:val="18"/>
              </w:rPr>
            </w:pPr>
            <w:r w:rsidRPr="00E73BC6">
              <w:rPr>
                <w:sz w:val="18"/>
                <w:szCs w:val="18"/>
              </w:rPr>
              <w:t>Low</w:t>
            </w:r>
          </w:p>
        </w:tc>
        <w:tc>
          <w:tcPr>
            <w:tcW w:w="2463" w:type="dxa"/>
          </w:tcPr>
          <w:p w14:paraId="496AC65A" w14:textId="150F80BA" w:rsidR="00763CE4" w:rsidRPr="00E73BC6" w:rsidRDefault="00763CE4" w:rsidP="00D40785">
            <w:pPr>
              <w:rPr>
                <w:sz w:val="18"/>
                <w:szCs w:val="18"/>
              </w:rPr>
            </w:pPr>
            <w:r w:rsidRPr="00E73BC6">
              <w:rPr>
                <w:sz w:val="18"/>
                <w:szCs w:val="18"/>
              </w:rPr>
              <w:t>Per group of band combination</w:t>
            </w:r>
          </w:p>
        </w:tc>
        <w:tc>
          <w:tcPr>
            <w:tcW w:w="1506" w:type="dxa"/>
          </w:tcPr>
          <w:p w14:paraId="20483759" w14:textId="3D319411" w:rsidR="00763CE4" w:rsidRPr="00E73BC6" w:rsidRDefault="00763CE4" w:rsidP="00D40785">
            <w:pPr>
              <w:rPr>
                <w:sz w:val="18"/>
                <w:szCs w:val="18"/>
              </w:rPr>
            </w:pPr>
            <w:r w:rsidRPr="00E73BC6">
              <w:rPr>
                <w:sz w:val="18"/>
                <w:szCs w:val="18"/>
              </w:rPr>
              <w:t>Yes</w:t>
            </w:r>
          </w:p>
        </w:tc>
      </w:tr>
      <w:tr w:rsidR="00763CE4" w:rsidRPr="00E73BC6" w14:paraId="67BD312D" w14:textId="77777777" w:rsidTr="00E73BC6">
        <w:tc>
          <w:tcPr>
            <w:tcW w:w="1221" w:type="dxa"/>
          </w:tcPr>
          <w:p w14:paraId="07F9B4B0" w14:textId="31BBD142" w:rsidR="00763CE4" w:rsidRPr="00E73BC6" w:rsidRDefault="00763CE4" w:rsidP="00D40785">
            <w:pPr>
              <w:rPr>
                <w:sz w:val="18"/>
                <w:szCs w:val="18"/>
              </w:rPr>
            </w:pPr>
            <w:r w:rsidRPr="00E73BC6">
              <w:rPr>
                <w:sz w:val="18"/>
                <w:szCs w:val="18"/>
              </w:rPr>
              <w:t>Alt 2</w:t>
            </w:r>
          </w:p>
        </w:tc>
        <w:tc>
          <w:tcPr>
            <w:tcW w:w="1926" w:type="dxa"/>
          </w:tcPr>
          <w:p w14:paraId="11957698" w14:textId="3D7BBEA9" w:rsidR="00763CE4" w:rsidRPr="00E73BC6" w:rsidRDefault="00763CE4" w:rsidP="00D40785">
            <w:pPr>
              <w:rPr>
                <w:sz w:val="18"/>
                <w:szCs w:val="18"/>
              </w:rPr>
            </w:pPr>
            <w:r w:rsidRPr="00E73BC6">
              <w:rPr>
                <w:sz w:val="18"/>
                <w:szCs w:val="18"/>
              </w:rPr>
              <w:t>Yes</w:t>
            </w:r>
          </w:p>
        </w:tc>
        <w:tc>
          <w:tcPr>
            <w:tcW w:w="1389" w:type="dxa"/>
          </w:tcPr>
          <w:p w14:paraId="2DF3509B" w14:textId="3734AE1B" w:rsidR="00763CE4" w:rsidRPr="00E73BC6" w:rsidRDefault="00763CE4" w:rsidP="00D40785">
            <w:pPr>
              <w:rPr>
                <w:sz w:val="18"/>
                <w:szCs w:val="18"/>
              </w:rPr>
            </w:pPr>
            <w:r w:rsidRPr="00E73BC6">
              <w:rPr>
                <w:sz w:val="18"/>
                <w:szCs w:val="18"/>
              </w:rPr>
              <w:t>Middle</w:t>
            </w:r>
          </w:p>
        </w:tc>
        <w:tc>
          <w:tcPr>
            <w:tcW w:w="2463" w:type="dxa"/>
          </w:tcPr>
          <w:p w14:paraId="6A68044D" w14:textId="3BB6A598" w:rsidR="00763CE4" w:rsidRPr="00E73BC6" w:rsidRDefault="00763CE4" w:rsidP="00D40785">
            <w:pPr>
              <w:rPr>
                <w:sz w:val="18"/>
                <w:szCs w:val="18"/>
              </w:rPr>
            </w:pPr>
            <w:r w:rsidRPr="00E73BC6">
              <w:rPr>
                <w:sz w:val="18"/>
                <w:szCs w:val="18"/>
              </w:rPr>
              <w:t xml:space="preserve">Per all </w:t>
            </w:r>
            <w:proofErr w:type="gramStart"/>
            <w:r w:rsidRPr="00E73BC6">
              <w:rPr>
                <w:sz w:val="18"/>
                <w:szCs w:val="18"/>
              </w:rPr>
              <w:t>fall back</w:t>
            </w:r>
            <w:proofErr w:type="gramEnd"/>
            <w:r w:rsidRPr="00E73BC6">
              <w:rPr>
                <w:sz w:val="18"/>
                <w:szCs w:val="18"/>
              </w:rPr>
              <w:t xml:space="preserve"> cases of one band combination</w:t>
            </w:r>
          </w:p>
        </w:tc>
        <w:tc>
          <w:tcPr>
            <w:tcW w:w="1506" w:type="dxa"/>
          </w:tcPr>
          <w:p w14:paraId="3379EE71" w14:textId="4C9D709D" w:rsidR="00763CE4" w:rsidRPr="00E73BC6" w:rsidRDefault="00763CE4" w:rsidP="00D40785">
            <w:pPr>
              <w:rPr>
                <w:sz w:val="18"/>
                <w:szCs w:val="18"/>
              </w:rPr>
            </w:pPr>
            <w:r w:rsidRPr="00E73BC6">
              <w:rPr>
                <w:rFonts w:hint="eastAsia"/>
                <w:sz w:val="18"/>
                <w:szCs w:val="18"/>
              </w:rPr>
              <w:t>y</w:t>
            </w:r>
            <w:r w:rsidRPr="00E73BC6">
              <w:rPr>
                <w:sz w:val="18"/>
                <w:szCs w:val="18"/>
              </w:rPr>
              <w:t>es</w:t>
            </w:r>
          </w:p>
        </w:tc>
      </w:tr>
    </w:tbl>
    <w:p w14:paraId="671B2CC2" w14:textId="4CC4254F" w:rsidR="00D64427" w:rsidRDefault="00E73BC6" w:rsidP="00E73BC6">
      <w:pPr>
        <w:jc w:val="center"/>
      </w:pPr>
      <w:r>
        <w:t>Table 1 pros and cons of alternatives</w:t>
      </w:r>
    </w:p>
    <w:p w14:paraId="1BD81FBE" w14:textId="6614819B" w:rsidR="00E73BC6" w:rsidRDefault="00E73BC6" w:rsidP="00E73BC6">
      <w:r>
        <w:rPr>
          <w:rFonts w:hint="eastAsia"/>
        </w:rPr>
        <w:t>B</w:t>
      </w:r>
      <w:r>
        <w:t>ased on comparison in table 1 it is clear we should go for alt 2.</w:t>
      </w:r>
    </w:p>
    <w:p w14:paraId="3BBCF2DF" w14:textId="34CF344F" w:rsidR="0064331D" w:rsidRPr="0064331D" w:rsidRDefault="0064331D" w:rsidP="00E73BC6">
      <w:pPr>
        <w:rPr>
          <w:b/>
          <w:bCs/>
        </w:rPr>
      </w:pPr>
      <w:r w:rsidRPr="0064331D">
        <w:rPr>
          <w:b/>
          <w:bCs/>
        </w:rPr>
        <w:t xml:space="preserve">Proposal 1: per FR gap indication is reported as part of </w:t>
      </w:r>
      <w:proofErr w:type="spellStart"/>
      <w:r w:rsidRPr="0064331D">
        <w:rPr>
          <w:b/>
          <w:bCs/>
        </w:rPr>
        <w:t>needForGap</w:t>
      </w:r>
      <w:proofErr w:type="spellEnd"/>
      <w:r w:rsidRPr="0064331D">
        <w:rPr>
          <w:b/>
          <w:bCs/>
        </w:rPr>
        <w:t xml:space="preserve"> </w:t>
      </w:r>
      <w:proofErr w:type="spellStart"/>
      <w:r w:rsidRPr="0064331D">
        <w:rPr>
          <w:b/>
          <w:bCs/>
        </w:rPr>
        <w:t>signaling</w:t>
      </w:r>
      <w:proofErr w:type="spellEnd"/>
      <w:r w:rsidRPr="0064331D">
        <w:rPr>
          <w:b/>
          <w:bCs/>
        </w:rPr>
        <w:t>.</w:t>
      </w:r>
    </w:p>
    <w:p w14:paraId="388F49A2" w14:textId="4426EA0B" w:rsidR="00E73BC6" w:rsidRDefault="00F40136" w:rsidP="00CC308D">
      <w:pPr>
        <w:pStyle w:val="1"/>
      </w:pPr>
      <w:r>
        <w:lastRenderedPageBreak/>
        <w:t>Stage 3 d</w:t>
      </w:r>
      <w:r w:rsidR="00E73BC6">
        <w:t>etail of alt 2</w:t>
      </w:r>
    </w:p>
    <w:p w14:paraId="7CDE9CF9" w14:textId="64459B8A" w:rsidR="0064331D" w:rsidRDefault="00FA2C95" w:rsidP="00CC308D">
      <w:r>
        <w:t xml:space="preserve">In Rel17 UE answer </w:t>
      </w:r>
      <w:r w:rsidRPr="00FA2C95">
        <w:t>NeedForGapNCSG-ConfigNR-r17</w:t>
      </w:r>
      <w:r>
        <w:t xml:space="preserve"> in </w:t>
      </w:r>
      <w:proofErr w:type="spellStart"/>
      <w:r>
        <w:t>RRCReconfiguration</w:t>
      </w:r>
      <w:proofErr w:type="spellEnd"/>
      <w:r>
        <w:t>/</w:t>
      </w:r>
      <w:proofErr w:type="spellStart"/>
      <w:r>
        <w:t>RRCResume</w:t>
      </w:r>
      <w:proofErr w:type="spellEnd"/>
      <w:r>
        <w:t xml:space="preserve"> message with </w:t>
      </w:r>
      <w:r w:rsidRPr="00FA2C95">
        <w:t>NeedForGapNCSG-InfoNR-r17</w:t>
      </w:r>
      <w:r>
        <w:t xml:space="preserve">, where 3 values i.e. </w:t>
      </w:r>
      <w:proofErr w:type="gramStart"/>
      <w:r>
        <w:t>{</w:t>
      </w:r>
      <w:r w:rsidRPr="00FA2C95">
        <w:t xml:space="preserve"> </w:t>
      </w:r>
      <w:r w:rsidRPr="00962B3F">
        <w:t>gap</w:t>
      </w:r>
      <w:proofErr w:type="gramEnd"/>
      <w:r w:rsidRPr="00962B3F">
        <w:t xml:space="preserve">, </w:t>
      </w:r>
      <w:proofErr w:type="spellStart"/>
      <w:r w:rsidRPr="00962B3F">
        <w:t>ncsg</w:t>
      </w:r>
      <w:proofErr w:type="spellEnd"/>
      <w:r w:rsidRPr="00962B3F">
        <w:t xml:space="preserve">, </w:t>
      </w:r>
      <w:proofErr w:type="spellStart"/>
      <w:r w:rsidRPr="00962B3F">
        <w:t>nogap-noncsg</w:t>
      </w:r>
      <w:proofErr w:type="spellEnd"/>
      <w:r>
        <w:t xml:space="preserve"> } is reported per cell for intra-frequency measurement and per band for inter-frequency measurement. </w:t>
      </w:r>
      <w:r w:rsidR="0064331D">
        <w:t xml:space="preserve">It only makes sense for UE to report per FR gap when it will report either gap or </w:t>
      </w:r>
      <w:proofErr w:type="spellStart"/>
      <w:r w:rsidR="0064331D">
        <w:t>ncsg</w:t>
      </w:r>
      <w:proofErr w:type="spellEnd"/>
      <w:r w:rsidR="0064331D">
        <w:t xml:space="preserve"> in current </w:t>
      </w:r>
      <w:r w:rsidR="0064331D" w:rsidRPr="00FA2C95">
        <w:t>NeedForGapNCSG-ConfigNR-r17</w:t>
      </w:r>
      <w:r w:rsidR="0064331D">
        <w:t xml:space="preserve"> since both imply either per UE gap and/or per FR gap could be configured. So naturally the new indication need be reported on top of existing scheme</w:t>
      </w:r>
      <w:r w:rsidR="00C507F5">
        <w:t>.</w:t>
      </w:r>
    </w:p>
    <w:p w14:paraId="3DCB7F59" w14:textId="2DE95344" w:rsidR="0064331D" w:rsidRPr="00C507F5" w:rsidRDefault="00C507F5" w:rsidP="00CC308D">
      <w:pPr>
        <w:rPr>
          <w:b/>
          <w:bCs/>
        </w:rPr>
      </w:pPr>
      <w:r w:rsidRPr="00C507F5">
        <w:rPr>
          <w:rFonts w:hint="eastAsia"/>
          <w:b/>
          <w:bCs/>
        </w:rPr>
        <w:t>P</w:t>
      </w:r>
      <w:r w:rsidRPr="00C507F5">
        <w:rPr>
          <w:b/>
          <w:bCs/>
        </w:rPr>
        <w:t>roposal 2: UE could report per FR gap indication when UE report either value “gap” or “</w:t>
      </w:r>
      <w:proofErr w:type="spellStart"/>
      <w:r w:rsidRPr="00C507F5">
        <w:rPr>
          <w:b/>
          <w:bCs/>
        </w:rPr>
        <w:t>ncsg</w:t>
      </w:r>
      <w:proofErr w:type="spellEnd"/>
      <w:r w:rsidRPr="00C507F5">
        <w:rPr>
          <w:b/>
          <w:bCs/>
        </w:rPr>
        <w:t>” in NeedForGapNCSG-ConfigNR-r17</w:t>
      </w:r>
    </w:p>
    <w:p w14:paraId="63A5D4CA" w14:textId="033906EE" w:rsidR="00CC308D" w:rsidRDefault="00624746" w:rsidP="00CC308D">
      <w:r>
        <w:t>For inter-frequency case, current Rel17 scheme doesn’t support NR-DC and NE-DC architecture. RAN2 basically follow RAN4’s decision captured in LS [5]</w:t>
      </w:r>
      <w:r w:rsidR="00897DAA">
        <w:t>. While RAN4 made the decision based on the same condition as Rel16 scheme. There are 3 alternatives to proceed with this:</w:t>
      </w:r>
    </w:p>
    <w:p w14:paraId="2480627B" w14:textId="04F7CC65" w:rsidR="00897DAA" w:rsidRDefault="00897DAA" w:rsidP="00CC308D">
      <w:r>
        <w:t xml:space="preserve">Alt 1: follow existing Rel16/Rel17 scheme </w:t>
      </w:r>
      <w:proofErr w:type="gramStart"/>
      <w:r>
        <w:t>i.e.</w:t>
      </w:r>
      <w:proofErr w:type="gramEnd"/>
      <w:r>
        <w:t xml:space="preserve"> NR-DC and NE-DC architecture are also not supported</w:t>
      </w:r>
    </w:p>
    <w:p w14:paraId="1CB5C651" w14:textId="69C24AE3" w:rsidR="00897DAA" w:rsidRDefault="00897DAA" w:rsidP="00CC308D">
      <w:r>
        <w:t>Alt 2: both NR-DC and NE-DC are supported in addition to current Rel16/Rel17 scheme</w:t>
      </w:r>
    </w:p>
    <w:p w14:paraId="5DBFE385" w14:textId="04826F6C" w:rsidR="00897DAA" w:rsidRDefault="00897DAA" w:rsidP="00CC308D">
      <w:r>
        <w:rPr>
          <w:rFonts w:hint="eastAsia"/>
        </w:rPr>
        <w:t>A</w:t>
      </w:r>
      <w:r>
        <w:t>lt 3: only NR-DC is supported by dropping NE-DC again</w:t>
      </w:r>
    </w:p>
    <w:p w14:paraId="303F99BF" w14:textId="64923DD3" w:rsidR="00C507F5" w:rsidRDefault="005E7D4F" w:rsidP="00CC308D">
      <w:r>
        <w:t xml:space="preserve">For NR-DC it is possible that FR1 carriers and FR2 carriers are aggregated as CA or DC. So technically </w:t>
      </w:r>
      <w:r w:rsidR="0064331D">
        <w:t>per FR gap is also feasible and helpful. But the requirement on NE-DC is still not clear on the market.</w:t>
      </w:r>
      <w:r w:rsidR="0064331D">
        <w:rPr>
          <w:rFonts w:hint="eastAsia"/>
        </w:rPr>
        <w:t xml:space="preserve"> </w:t>
      </w:r>
      <w:r w:rsidR="00C507F5">
        <w:t xml:space="preserve">Since Rel17 scheme doesn’t support NR-DC scheme, so proposal 2 is not applicable unless Rel17 scheme is also updated to support NR-DC architecture. We think the reason to support NR-DC for per FR gap indication is also applicable for Rel17 legacy scheme. </w:t>
      </w:r>
      <w:r w:rsidR="007E10C1">
        <w:t xml:space="preserve">But to support NR-DC for legacy Rel17 scheme is not backwards compatible. </w:t>
      </w:r>
    </w:p>
    <w:p w14:paraId="595AA8C2" w14:textId="2BB2E64C" w:rsidR="00ED5959" w:rsidRPr="003F227C" w:rsidRDefault="00ED5959" w:rsidP="00CC308D">
      <w:pPr>
        <w:rPr>
          <w:b/>
          <w:bCs/>
        </w:rPr>
      </w:pPr>
      <w:r w:rsidRPr="003F227C">
        <w:rPr>
          <w:rFonts w:hint="eastAsia"/>
          <w:b/>
          <w:bCs/>
        </w:rPr>
        <w:t>P</w:t>
      </w:r>
      <w:r w:rsidRPr="003F227C">
        <w:rPr>
          <w:b/>
          <w:bCs/>
        </w:rPr>
        <w:t xml:space="preserve">roposal 3: RAN2 make decision on following options </w:t>
      </w:r>
      <w:proofErr w:type="spellStart"/>
      <w:r w:rsidRPr="003F227C">
        <w:rPr>
          <w:b/>
          <w:bCs/>
        </w:rPr>
        <w:t>w.r.t.</w:t>
      </w:r>
      <w:proofErr w:type="spellEnd"/>
      <w:r w:rsidRPr="003F227C">
        <w:rPr>
          <w:b/>
          <w:bCs/>
        </w:rPr>
        <w:t xml:space="preserve"> supporting NR-DC:</w:t>
      </w:r>
    </w:p>
    <w:p w14:paraId="0939CC20" w14:textId="1237F084" w:rsidR="00ED5959" w:rsidRPr="003F227C" w:rsidRDefault="00ED5959" w:rsidP="00CC308D">
      <w:pPr>
        <w:rPr>
          <w:b/>
          <w:bCs/>
        </w:rPr>
      </w:pPr>
      <w:r w:rsidRPr="003F227C">
        <w:rPr>
          <w:b/>
          <w:bCs/>
        </w:rPr>
        <w:t>Option 1: not support for both legacy and new scheme</w:t>
      </w:r>
      <w:r w:rsidR="00F40136">
        <w:rPr>
          <w:b/>
          <w:bCs/>
        </w:rPr>
        <w:t xml:space="preserve"> </w:t>
      </w:r>
      <w:proofErr w:type="gramStart"/>
      <w:r w:rsidR="00F40136">
        <w:rPr>
          <w:b/>
          <w:bCs/>
        </w:rPr>
        <w:t>i.e.</w:t>
      </w:r>
      <w:proofErr w:type="gramEnd"/>
      <w:r w:rsidR="00F40136">
        <w:rPr>
          <w:b/>
          <w:bCs/>
        </w:rPr>
        <w:t xml:space="preserve"> alt2</w:t>
      </w:r>
    </w:p>
    <w:p w14:paraId="0948ECA0" w14:textId="67545AB8" w:rsidR="00ED5959" w:rsidRPr="003F227C" w:rsidRDefault="00ED5959" w:rsidP="00CC308D">
      <w:pPr>
        <w:rPr>
          <w:b/>
          <w:bCs/>
        </w:rPr>
      </w:pPr>
      <w:r w:rsidRPr="003F227C">
        <w:rPr>
          <w:b/>
          <w:bCs/>
        </w:rPr>
        <w:t>Option 2: only support for new scheme</w:t>
      </w:r>
      <w:r w:rsidR="00F40136">
        <w:rPr>
          <w:b/>
          <w:bCs/>
        </w:rPr>
        <w:t xml:space="preserve"> </w:t>
      </w:r>
      <w:proofErr w:type="gramStart"/>
      <w:r w:rsidR="00F40136">
        <w:rPr>
          <w:b/>
          <w:bCs/>
        </w:rPr>
        <w:t>i.e.</w:t>
      </w:r>
      <w:proofErr w:type="gramEnd"/>
      <w:r w:rsidR="00F40136">
        <w:rPr>
          <w:b/>
          <w:bCs/>
        </w:rPr>
        <w:t xml:space="preserve"> alt2</w:t>
      </w:r>
    </w:p>
    <w:p w14:paraId="5A00B32C" w14:textId="0BB815A1" w:rsidR="00ED5959" w:rsidRPr="003F227C" w:rsidRDefault="00ED5959" w:rsidP="00CC308D">
      <w:pPr>
        <w:rPr>
          <w:b/>
          <w:bCs/>
        </w:rPr>
      </w:pPr>
      <w:r w:rsidRPr="003F227C">
        <w:rPr>
          <w:rFonts w:hint="eastAsia"/>
          <w:b/>
          <w:bCs/>
        </w:rPr>
        <w:t>O</w:t>
      </w:r>
      <w:r w:rsidRPr="003F227C">
        <w:rPr>
          <w:b/>
          <w:bCs/>
        </w:rPr>
        <w:t>ption 3: support for both legacy and new scheme</w:t>
      </w:r>
      <w:r w:rsidR="00F40136" w:rsidRPr="00F40136">
        <w:rPr>
          <w:b/>
          <w:bCs/>
        </w:rPr>
        <w:t xml:space="preserve"> </w:t>
      </w:r>
      <w:proofErr w:type="gramStart"/>
      <w:r w:rsidR="00F40136">
        <w:rPr>
          <w:b/>
          <w:bCs/>
        </w:rPr>
        <w:t>i.e.</w:t>
      </w:r>
      <w:proofErr w:type="gramEnd"/>
      <w:r w:rsidR="00F40136">
        <w:rPr>
          <w:b/>
          <w:bCs/>
        </w:rPr>
        <w:t xml:space="preserve"> alt2</w:t>
      </w:r>
    </w:p>
    <w:p w14:paraId="757F05C2" w14:textId="3EAE43F8" w:rsidR="00ED5959" w:rsidRDefault="00ED5959" w:rsidP="00CC308D">
      <w:r>
        <w:rPr>
          <w:rFonts w:hint="eastAsia"/>
        </w:rPr>
        <w:t>T</w:t>
      </w:r>
      <w:r>
        <w:t>he draft CR in [6] is based on option 2 to show there is additional signalling overhead for option 2.</w:t>
      </w:r>
    </w:p>
    <w:p w14:paraId="3E725923" w14:textId="555E63AC" w:rsidR="00ED5959" w:rsidRDefault="003F227C" w:rsidP="00CC308D">
      <w:r>
        <w:t xml:space="preserve">As for the reported value, we think UE can recommend either per FR1 gap or per FR2 gap or both because such value is reported based on </w:t>
      </w:r>
      <w:r w:rsidR="008369C6">
        <w:t xml:space="preserve">detail carrier configuration. </w:t>
      </w:r>
    </w:p>
    <w:p w14:paraId="2122905B" w14:textId="701ED5D5" w:rsidR="008369C6" w:rsidRDefault="008369C6" w:rsidP="00CC308D">
      <w:pPr>
        <w:rPr>
          <w:b/>
          <w:bCs/>
        </w:rPr>
      </w:pPr>
      <w:r w:rsidRPr="008369C6">
        <w:rPr>
          <w:b/>
          <w:bCs/>
        </w:rPr>
        <w:t xml:space="preserve">Proposal 4: the reported value </w:t>
      </w:r>
      <w:proofErr w:type="gramStart"/>
      <w:r w:rsidRPr="008369C6">
        <w:rPr>
          <w:b/>
          <w:bCs/>
        </w:rPr>
        <w:t>are</w:t>
      </w:r>
      <w:proofErr w:type="gramEnd"/>
      <w:r w:rsidRPr="008369C6">
        <w:rPr>
          <w:b/>
          <w:bCs/>
        </w:rPr>
        <w:t xml:space="preserve"> {perFR1, perFR2, both}</w:t>
      </w:r>
    </w:p>
    <w:p w14:paraId="69FE2DEF" w14:textId="06680D8A" w:rsidR="004772B9" w:rsidRDefault="004772B9" w:rsidP="00CC308D">
      <w:r w:rsidRPr="004772B9">
        <w:rPr>
          <w:rFonts w:hint="eastAsia"/>
        </w:rPr>
        <w:t>U</w:t>
      </w:r>
      <w:r w:rsidRPr="004772B9">
        <w:t>E</w:t>
      </w:r>
      <w:r w:rsidR="00BE5147">
        <w:t xml:space="preserve"> also answer </w:t>
      </w:r>
      <w:r w:rsidR="00BE5147" w:rsidRPr="00BE5147">
        <w:t>NeedForGapNCSG-ConfigEUTRA-r17</w:t>
      </w:r>
      <w:r w:rsidR="00BE5147">
        <w:t xml:space="preserve"> with </w:t>
      </w:r>
      <w:r w:rsidR="00BE5147" w:rsidRPr="00BE5147">
        <w:t>NeedForGapNCSG-InfoEUTRA-r1</w:t>
      </w:r>
      <w:r w:rsidR="00BE5147">
        <w:t xml:space="preserve">, where </w:t>
      </w:r>
      <w:r w:rsidR="00BE5147" w:rsidRPr="00BE5147">
        <w:t>gapIndication-r17</w:t>
      </w:r>
      <w:r w:rsidR="00BE5147">
        <w:t xml:space="preserve"> covers </w:t>
      </w:r>
      <w:r w:rsidR="00BE5147" w:rsidRPr="00BE5147">
        <w:t xml:space="preserve">{gap, </w:t>
      </w:r>
      <w:proofErr w:type="spellStart"/>
      <w:r w:rsidR="00BE5147" w:rsidRPr="00BE5147">
        <w:t>ncsg</w:t>
      </w:r>
      <w:proofErr w:type="spellEnd"/>
      <w:r w:rsidR="00BE5147" w:rsidRPr="00BE5147">
        <w:t xml:space="preserve">, </w:t>
      </w:r>
      <w:proofErr w:type="spellStart"/>
      <w:r w:rsidR="00BE5147" w:rsidRPr="00BE5147">
        <w:t>nogap-noncsg</w:t>
      </w:r>
      <w:proofErr w:type="spellEnd"/>
      <w:r w:rsidR="00BE5147">
        <w:t xml:space="preserve">} per band. There is no such difference between the inter-frequency measurement and inter-RAT measurement </w:t>
      </w:r>
      <w:proofErr w:type="spellStart"/>
      <w:r w:rsidR="00BE5147">
        <w:t>w.r.t.</w:t>
      </w:r>
      <w:proofErr w:type="spellEnd"/>
      <w:r w:rsidR="00BE5147">
        <w:t xml:space="preserve"> per FR gap </w:t>
      </w:r>
      <w:proofErr w:type="gramStart"/>
      <w:r w:rsidR="00BE5147">
        <w:t>i.e.</w:t>
      </w:r>
      <w:proofErr w:type="gramEnd"/>
      <w:r w:rsidR="00BE5147">
        <w:t xml:space="preserve"> the same scheme can be applied.</w:t>
      </w:r>
    </w:p>
    <w:p w14:paraId="60DC1EBA" w14:textId="01FF2A70" w:rsidR="00BE5147" w:rsidRPr="00BE5147" w:rsidRDefault="00BE5147" w:rsidP="00CC308D">
      <w:pPr>
        <w:rPr>
          <w:b/>
          <w:bCs/>
        </w:rPr>
      </w:pPr>
      <w:r w:rsidRPr="00BE5147">
        <w:rPr>
          <w:rFonts w:hint="eastAsia"/>
          <w:b/>
          <w:bCs/>
        </w:rPr>
        <w:t>P</w:t>
      </w:r>
      <w:r w:rsidRPr="00BE5147">
        <w:rPr>
          <w:b/>
          <w:bCs/>
        </w:rPr>
        <w:t xml:space="preserve">roposal 5: proposal 2, proposal 3 and proposal 4 are also applicable for </w:t>
      </w:r>
      <w:proofErr w:type="spellStart"/>
      <w:r w:rsidRPr="00BE5147">
        <w:rPr>
          <w:b/>
          <w:bCs/>
        </w:rPr>
        <w:t>needForGap</w:t>
      </w:r>
      <w:proofErr w:type="spellEnd"/>
      <w:r w:rsidRPr="00BE5147">
        <w:rPr>
          <w:b/>
          <w:bCs/>
        </w:rPr>
        <w:t xml:space="preserve"> for inter-RAT measurement</w:t>
      </w:r>
    </w:p>
    <w:p w14:paraId="38104042" w14:textId="77777777" w:rsidR="00D40785" w:rsidRDefault="00D40785" w:rsidP="00D40785">
      <w:pPr>
        <w:pStyle w:val="1"/>
      </w:pPr>
      <w:r>
        <w:t>Conclusion</w:t>
      </w:r>
    </w:p>
    <w:p w14:paraId="26B44F53" w14:textId="77777777" w:rsidR="00CE6652" w:rsidRPr="0064331D" w:rsidRDefault="00CE6652" w:rsidP="00CE6652">
      <w:pPr>
        <w:rPr>
          <w:b/>
          <w:bCs/>
        </w:rPr>
      </w:pPr>
      <w:r w:rsidRPr="0064331D">
        <w:rPr>
          <w:b/>
          <w:bCs/>
        </w:rPr>
        <w:t xml:space="preserve">Proposal 1: per FR gap indication is reported as part of </w:t>
      </w:r>
      <w:proofErr w:type="spellStart"/>
      <w:r w:rsidRPr="0064331D">
        <w:rPr>
          <w:b/>
          <w:bCs/>
        </w:rPr>
        <w:t>needForGap</w:t>
      </w:r>
      <w:proofErr w:type="spellEnd"/>
      <w:r w:rsidRPr="0064331D">
        <w:rPr>
          <w:b/>
          <w:bCs/>
        </w:rPr>
        <w:t xml:space="preserve"> </w:t>
      </w:r>
      <w:proofErr w:type="spellStart"/>
      <w:r w:rsidRPr="0064331D">
        <w:rPr>
          <w:b/>
          <w:bCs/>
        </w:rPr>
        <w:t>signaling</w:t>
      </w:r>
      <w:proofErr w:type="spellEnd"/>
      <w:r w:rsidRPr="0064331D">
        <w:rPr>
          <w:b/>
          <w:bCs/>
        </w:rPr>
        <w:t>.</w:t>
      </w:r>
    </w:p>
    <w:p w14:paraId="2714CE56" w14:textId="77777777" w:rsidR="00CE6652" w:rsidRPr="00C507F5" w:rsidRDefault="00CE6652" w:rsidP="00CE6652">
      <w:pPr>
        <w:rPr>
          <w:b/>
          <w:bCs/>
        </w:rPr>
      </w:pPr>
      <w:r w:rsidRPr="00C507F5">
        <w:rPr>
          <w:rFonts w:hint="eastAsia"/>
          <w:b/>
          <w:bCs/>
        </w:rPr>
        <w:t>P</w:t>
      </w:r>
      <w:r w:rsidRPr="00C507F5">
        <w:rPr>
          <w:b/>
          <w:bCs/>
        </w:rPr>
        <w:t>roposal 2: UE could report per FR gap indication when UE report either value “gap” or “</w:t>
      </w:r>
      <w:proofErr w:type="spellStart"/>
      <w:r w:rsidRPr="00C507F5">
        <w:rPr>
          <w:b/>
          <w:bCs/>
        </w:rPr>
        <w:t>ncsg</w:t>
      </w:r>
      <w:proofErr w:type="spellEnd"/>
      <w:r w:rsidRPr="00C507F5">
        <w:rPr>
          <w:b/>
          <w:bCs/>
        </w:rPr>
        <w:t>” in NeedForGapNCSG-ConfigNR-r17</w:t>
      </w:r>
    </w:p>
    <w:p w14:paraId="1CF093D4" w14:textId="77777777" w:rsidR="00CE6652" w:rsidRPr="003F227C" w:rsidRDefault="00CE6652" w:rsidP="00CE6652">
      <w:pPr>
        <w:rPr>
          <w:b/>
          <w:bCs/>
        </w:rPr>
      </w:pPr>
      <w:r w:rsidRPr="003F227C">
        <w:rPr>
          <w:rFonts w:hint="eastAsia"/>
          <w:b/>
          <w:bCs/>
        </w:rPr>
        <w:t>P</w:t>
      </w:r>
      <w:r w:rsidRPr="003F227C">
        <w:rPr>
          <w:b/>
          <w:bCs/>
        </w:rPr>
        <w:t xml:space="preserve">roposal 3: RAN2 make decision on following options </w:t>
      </w:r>
      <w:proofErr w:type="spellStart"/>
      <w:r w:rsidRPr="003F227C">
        <w:rPr>
          <w:b/>
          <w:bCs/>
        </w:rPr>
        <w:t>w.r.t.</w:t>
      </w:r>
      <w:proofErr w:type="spellEnd"/>
      <w:r w:rsidRPr="003F227C">
        <w:rPr>
          <w:b/>
          <w:bCs/>
        </w:rPr>
        <w:t xml:space="preserve"> supporting NR-DC:</w:t>
      </w:r>
    </w:p>
    <w:p w14:paraId="5463F645" w14:textId="77777777" w:rsidR="00CE6652" w:rsidRPr="003F227C" w:rsidRDefault="00CE6652" w:rsidP="00CE6652">
      <w:pPr>
        <w:rPr>
          <w:b/>
          <w:bCs/>
        </w:rPr>
      </w:pPr>
      <w:r w:rsidRPr="003F227C">
        <w:rPr>
          <w:b/>
          <w:bCs/>
        </w:rPr>
        <w:t>Option 1: not support for both legacy and new scheme</w:t>
      </w:r>
      <w:r>
        <w:rPr>
          <w:b/>
          <w:bCs/>
        </w:rPr>
        <w:t xml:space="preserve"> </w:t>
      </w:r>
      <w:proofErr w:type="gramStart"/>
      <w:r>
        <w:rPr>
          <w:b/>
          <w:bCs/>
        </w:rPr>
        <w:t>i.e.</w:t>
      </w:r>
      <w:proofErr w:type="gramEnd"/>
      <w:r>
        <w:rPr>
          <w:b/>
          <w:bCs/>
        </w:rPr>
        <w:t xml:space="preserve"> alt2</w:t>
      </w:r>
    </w:p>
    <w:p w14:paraId="19EB8F22" w14:textId="77777777" w:rsidR="00CE6652" w:rsidRPr="003F227C" w:rsidRDefault="00CE6652" w:rsidP="00CE6652">
      <w:pPr>
        <w:rPr>
          <w:b/>
          <w:bCs/>
        </w:rPr>
      </w:pPr>
      <w:r w:rsidRPr="003F227C">
        <w:rPr>
          <w:b/>
          <w:bCs/>
        </w:rPr>
        <w:t>Option 2: only support for new scheme</w:t>
      </w:r>
      <w:r>
        <w:rPr>
          <w:b/>
          <w:bCs/>
        </w:rPr>
        <w:t xml:space="preserve"> </w:t>
      </w:r>
      <w:proofErr w:type="gramStart"/>
      <w:r>
        <w:rPr>
          <w:b/>
          <w:bCs/>
        </w:rPr>
        <w:t>i.e.</w:t>
      </w:r>
      <w:proofErr w:type="gramEnd"/>
      <w:r>
        <w:rPr>
          <w:b/>
          <w:bCs/>
        </w:rPr>
        <w:t xml:space="preserve"> alt2</w:t>
      </w:r>
    </w:p>
    <w:p w14:paraId="7CDECB90" w14:textId="77777777" w:rsidR="00CE6652" w:rsidRPr="003F227C" w:rsidRDefault="00CE6652" w:rsidP="00CE6652">
      <w:pPr>
        <w:rPr>
          <w:b/>
          <w:bCs/>
        </w:rPr>
      </w:pPr>
      <w:r w:rsidRPr="003F227C">
        <w:rPr>
          <w:rFonts w:hint="eastAsia"/>
          <w:b/>
          <w:bCs/>
        </w:rPr>
        <w:t>O</w:t>
      </w:r>
      <w:r w:rsidRPr="003F227C">
        <w:rPr>
          <w:b/>
          <w:bCs/>
        </w:rPr>
        <w:t>ption 3: support for both legacy and new scheme</w:t>
      </w:r>
      <w:r w:rsidRPr="00F40136">
        <w:rPr>
          <w:b/>
          <w:bCs/>
        </w:rPr>
        <w:t xml:space="preserve"> </w:t>
      </w:r>
      <w:proofErr w:type="gramStart"/>
      <w:r>
        <w:rPr>
          <w:b/>
          <w:bCs/>
        </w:rPr>
        <w:t>i.e.</w:t>
      </w:r>
      <w:proofErr w:type="gramEnd"/>
      <w:r>
        <w:rPr>
          <w:b/>
          <w:bCs/>
        </w:rPr>
        <w:t xml:space="preserve"> alt2</w:t>
      </w:r>
    </w:p>
    <w:p w14:paraId="128936BE" w14:textId="77777777" w:rsidR="00CE6652" w:rsidRDefault="00CE6652" w:rsidP="00CE6652">
      <w:pPr>
        <w:rPr>
          <w:b/>
          <w:bCs/>
        </w:rPr>
      </w:pPr>
      <w:r w:rsidRPr="008369C6">
        <w:rPr>
          <w:b/>
          <w:bCs/>
        </w:rPr>
        <w:t xml:space="preserve">Proposal 4: the reported value </w:t>
      </w:r>
      <w:proofErr w:type="gramStart"/>
      <w:r w:rsidRPr="008369C6">
        <w:rPr>
          <w:b/>
          <w:bCs/>
        </w:rPr>
        <w:t>are</w:t>
      </w:r>
      <w:proofErr w:type="gramEnd"/>
      <w:r w:rsidRPr="008369C6">
        <w:rPr>
          <w:b/>
          <w:bCs/>
        </w:rPr>
        <w:t xml:space="preserve"> {perFR1, perFR2, both}</w:t>
      </w:r>
    </w:p>
    <w:p w14:paraId="627DF306" w14:textId="27B6BD5E" w:rsidR="00D40785" w:rsidRPr="00D40785" w:rsidRDefault="00CE6652" w:rsidP="00D40785">
      <w:r w:rsidRPr="00BE5147">
        <w:rPr>
          <w:rFonts w:hint="eastAsia"/>
          <w:b/>
          <w:bCs/>
        </w:rPr>
        <w:t>P</w:t>
      </w:r>
      <w:r w:rsidRPr="00BE5147">
        <w:rPr>
          <w:b/>
          <w:bCs/>
        </w:rPr>
        <w:t xml:space="preserve">roposal 5: proposal 2, proposal 3 and proposal 4 are also applicable for </w:t>
      </w:r>
      <w:proofErr w:type="spellStart"/>
      <w:r w:rsidRPr="00BE5147">
        <w:rPr>
          <w:b/>
          <w:bCs/>
        </w:rPr>
        <w:t>needForGap</w:t>
      </w:r>
      <w:proofErr w:type="spellEnd"/>
      <w:r w:rsidRPr="00BE5147">
        <w:rPr>
          <w:b/>
          <w:bCs/>
        </w:rPr>
        <w:t xml:space="preserve"> for inter-RAT measurement</w:t>
      </w:r>
    </w:p>
    <w:p w14:paraId="14E11F39"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lastRenderedPageBreak/>
        <w:t>Reference</w:t>
      </w:r>
      <w:bookmarkEnd w:id="6"/>
      <w:bookmarkEnd w:id="7"/>
      <w:bookmarkEnd w:id="8"/>
    </w:p>
    <w:p w14:paraId="1B7792B8" w14:textId="6C3487CC" w:rsidR="008874AD" w:rsidRDefault="00562F3B" w:rsidP="008874AD">
      <w:r>
        <w:rPr>
          <w:rFonts w:hint="eastAsia"/>
        </w:rPr>
        <w:t>[</w:t>
      </w:r>
      <w:r>
        <w:t xml:space="preserve">1] </w:t>
      </w:r>
      <w:r w:rsidRPr="00562F3B">
        <w:t>RP-222590</w:t>
      </w:r>
      <w:r w:rsidR="00982FF4">
        <w:tab/>
      </w:r>
      <w:r w:rsidR="00982FF4" w:rsidRPr="00982FF4">
        <w:t>97e-30-UE-Capabilities-v0.0.4</w:t>
      </w:r>
    </w:p>
    <w:p w14:paraId="4A775B05" w14:textId="62493183" w:rsidR="004E5699" w:rsidRDefault="004E5699" w:rsidP="008874AD">
      <w:r>
        <w:rPr>
          <w:rFonts w:hint="eastAsia"/>
        </w:rPr>
        <w:t>[</w:t>
      </w:r>
      <w:r>
        <w:t xml:space="preserve">2] </w:t>
      </w:r>
      <w:r w:rsidRPr="004E5699">
        <w:t>RP-222276</w:t>
      </w:r>
      <w:r w:rsidR="00982FF4">
        <w:tab/>
      </w:r>
      <w:r w:rsidR="00982FF4" w:rsidRPr="00982FF4">
        <w:t>UE Capability for per-FR Measurement Gap</w:t>
      </w:r>
      <w:r w:rsidR="00982FF4">
        <w:t xml:space="preserve"> </w:t>
      </w:r>
      <w:r w:rsidR="00982FF4" w:rsidRPr="00982FF4">
        <w:t>Qualcomm Incorporated</w:t>
      </w:r>
    </w:p>
    <w:p w14:paraId="3C5A8180" w14:textId="29EEFC74" w:rsidR="004E5699" w:rsidRDefault="004E5699" w:rsidP="008874AD">
      <w:r>
        <w:rPr>
          <w:rFonts w:hint="eastAsia"/>
        </w:rPr>
        <w:t>[</w:t>
      </w:r>
      <w:r>
        <w:t xml:space="preserve">3] </w:t>
      </w:r>
      <w:r w:rsidRPr="004E5699">
        <w:t>RP-222366</w:t>
      </w:r>
      <w:r w:rsidR="00982FF4">
        <w:tab/>
      </w:r>
      <w:r w:rsidR="00982FF4" w:rsidRPr="00982FF4">
        <w:t>Discussion on per-FR gap capabilities</w:t>
      </w:r>
      <w:r w:rsidR="00982FF4">
        <w:t xml:space="preserve"> </w:t>
      </w:r>
      <w:r w:rsidR="00982FF4" w:rsidRPr="00982FF4">
        <w:t>Nokia, Nokia Shanghai Bell</w:t>
      </w:r>
    </w:p>
    <w:p w14:paraId="71692111" w14:textId="334CACE1" w:rsidR="004E5699" w:rsidRDefault="004E5699" w:rsidP="008874AD">
      <w:r>
        <w:rPr>
          <w:rFonts w:hint="eastAsia"/>
        </w:rPr>
        <w:t>[</w:t>
      </w:r>
      <w:r>
        <w:t xml:space="preserve">4] </w:t>
      </w:r>
      <w:r w:rsidRPr="004E5699">
        <w:t>RP-221702</w:t>
      </w:r>
      <w:r w:rsidR="00982FF4">
        <w:tab/>
      </w:r>
      <w:r w:rsidR="00982FF4" w:rsidRPr="00982FF4">
        <w:t>On per BC indication for the per-FR gap capability</w:t>
      </w:r>
      <w:r w:rsidR="00982FF4">
        <w:t xml:space="preserve"> </w:t>
      </w:r>
      <w:r w:rsidR="00982FF4" w:rsidRPr="00982FF4">
        <w:t>Apple Inc</w:t>
      </w:r>
      <w:r w:rsidR="00982FF4">
        <w:t>.</w:t>
      </w:r>
    </w:p>
    <w:p w14:paraId="74374621" w14:textId="1F438F78" w:rsidR="00624746" w:rsidRDefault="00624746" w:rsidP="008874AD">
      <w:r>
        <w:rPr>
          <w:rFonts w:hint="eastAsia"/>
        </w:rPr>
        <w:t>[</w:t>
      </w:r>
      <w:r>
        <w:t xml:space="preserve">5] </w:t>
      </w:r>
      <w:r w:rsidR="00897DAA">
        <w:t>R2-2202161</w:t>
      </w:r>
      <w:r w:rsidR="00982FF4">
        <w:tab/>
      </w:r>
      <w:r w:rsidR="00982FF4" w:rsidRPr="00982FF4">
        <w:t>LS on R17 MG enhancement - NCSG</w:t>
      </w:r>
    </w:p>
    <w:p w14:paraId="256C52C0" w14:textId="59E50C88" w:rsidR="00ED5959" w:rsidRPr="008874AD" w:rsidRDefault="00ED5959" w:rsidP="008874AD">
      <w:r>
        <w:rPr>
          <w:rFonts w:hint="eastAsia"/>
        </w:rPr>
        <w:t>[</w:t>
      </w:r>
      <w:r>
        <w:t xml:space="preserve">6] </w:t>
      </w:r>
      <w:r w:rsidR="00982FF4">
        <w:t>R2-22xxxxx</w:t>
      </w:r>
      <w:r w:rsidR="00982FF4">
        <w:tab/>
      </w:r>
      <w:r w:rsidR="00B3335D">
        <w:t xml:space="preserve">draft </w:t>
      </w:r>
      <w:r>
        <w:t>CR</w:t>
      </w:r>
      <w:r w:rsidR="0057416E">
        <w:t xml:space="preserve"> on per FR gap</w:t>
      </w:r>
    </w:p>
    <w:sectPr w:rsidR="00ED5959" w:rsidRPr="008874A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091A" w14:textId="77777777" w:rsidR="00EC433B" w:rsidRDefault="00EC433B" w:rsidP="00536369">
      <w:pPr>
        <w:spacing w:after="0"/>
      </w:pPr>
      <w:r>
        <w:separator/>
      </w:r>
    </w:p>
  </w:endnote>
  <w:endnote w:type="continuationSeparator" w:id="0">
    <w:p w14:paraId="2F25299C" w14:textId="77777777" w:rsidR="00EC433B" w:rsidRDefault="00EC433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8069" w14:textId="77777777" w:rsidR="0038352A" w:rsidRDefault="0038352A">
    <w:pPr>
      <w:pStyle w:val="a6"/>
      <w:tabs>
        <w:tab w:val="center" w:pos="4820"/>
        <w:tab w:val="right" w:pos="9639"/>
      </w:tabs>
      <w:jc w:val="left"/>
    </w:pPr>
    <w:r>
      <w:tab/>
    </w:r>
    <w:r>
      <w:fldChar w:fldCharType="begin"/>
    </w:r>
    <w:r>
      <w:rPr>
        <w:rStyle w:val="a4"/>
      </w:rPr>
      <w:instrText xml:space="preserve"> PAGE </w:instrText>
    </w:r>
    <w:r>
      <w:fldChar w:fldCharType="separate"/>
    </w:r>
    <w:r w:rsidR="005B3B9E">
      <w:rPr>
        <w:rStyle w:val="a4"/>
        <w:noProof/>
      </w:rPr>
      <w:t>1</w:t>
    </w:r>
    <w:r>
      <w:fldChar w:fldCharType="end"/>
    </w:r>
    <w:r>
      <w:rPr>
        <w:rStyle w:val="a4"/>
      </w:rPr>
      <w:t>/</w:t>
    </w:r>
    <w:r>
      <w:fldChar w:fldCharType="begin"/>
    </w:r>
    <w:r>
      <w:rPr>
        <w:rStyle w:val="a4"/>
      </w:rPr>
      <w:instrText xml:space="preserve"> NUMPAGES </w:instrText>
    </w:r>
    <w:r>
      <w:fldChar w:fldCharType="separate"/>
    </w:r>
    <w:r w:rsidR="005B3B9E">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9B6C" w14:textId="77777777" w:rsidR="00EC433B" w:rsidRDefault="00EC433B" w:rsidP="00536369">
      <w:pPr>
        <w:spacing w:after="0"/>
      </w:pPr>
      <w:r>
        <w:separator/>
      </w:r>
    </w:p>
  </w:footnote>
  <w:footnote w:type="continuationSeparator" w:id="0">
    <w:p w14:paraId="6C707A2A" w14:textId="77777777" w:rsidR="00EC433B" w:rsidRDefault="00EC433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71970317">
    <w:abstractNumId w:val="0"/>
  </w:num>
  <w:num w:numId="2" w16cid:durableId="79059012">
    <w:abstractNumId w:val="2"/>
  </w:num>
  <w:num w:numId="3" w16cid:durableId="2039423743">
    <w:abstractNumId w:val="13"/>
  </w:num>
  <w:num w:numId="4" w16cid:durableId="928277023">
    <w:abstractNumId w:val="12"/>
  </w:num>
  <w:num w:numId="5" w16cid:durableId="1104418354">
    <w:abstractNumId w:val="7"/>
  </w:num>
  <w:num w:numId="6" w16cid:durableId="242373084">
    <w:abstractNumId w:val="1"/>
  </w:num>
  <w:num w:numId="7" w16cid:durableId="1734501706">
    <w:abstractNumId w:val="0"/>
  </w:num>
  <w:num w:numId="8" w16cid:durableId="1222207316">
    <w:abstractNumId w:val="0"/>
  </w:num>
  <w:num w:numId="9" w16cid:durableId="674653024">
    <w:abstractNumId w:val="0"/>
  </w:num>
  <w:num w:numId="10" w16cid:durableId="671957082">
    <w:abstractNumId w:val="0"/>
  </w:num>
  <w:num w:numId="11" w16cid:durableId="781415864">
    <w:abstractNumId w:val="10"/>
  </w:num>
  <w:num w:numId="12" w16cid:durableId="1518275763">
    <w:abstractNumId w:val="11"/>
  </w:num>
  <w:num w:numId="13" w16cid:durableId="1882665958">
    <w:abstractNumId w:val="16"/>
  </w:num>
  <w:num w:numId="14" w16cid:durableId="522865705">
    <w:abstractNumId w:val="5"/>
  </w:num>
  <w:num w:numId="15" w16cid:durableId="354842660">
    <w:abstractNumId w:val="6"/>
  </w:num>
  <w:num w:numId="16" w16cid:durableId="1695613875">
    <w:abstractNumId w:val="9"/>
  </w:num>
  <w:num w:numId="17" w16cid:durableId="785194216">
    <w:abstractNumId w:val="3"/>
  </w:num>
  <w:num w:numId="18" w16cid:durableId="1684161607">
    <w:abstractNumId w:val="8"/>
  </w:num>
  <w:num w:numId="19" w16cid:durableId="468939690">
    <w:abstractNumId w:val="4"/>
  </w:num>
  <w:num w:numId="20" w16cid:durableId="459767674">
    <w:abstractNumId w:val="15"/>
  </w:num>
  <w:num w:numId="21" w16cid:durableId="1039091987">
    <w:abstractNumId w:val="14"/>
  </w:num>
  <w:num w:numId="22" w16cid:durableId="220823188">
    <w:abstractNumId w:val="0"/>
  </w:num>
  <w:num w:numId="23" w16cid:durableId="1865248593">
    <w:abstractNumId w:val="0"/>
  </w:num>
  <w:num w:numId="24" w16cid:durableId="23678601">
    <w:abstractNumId w:val="0"/>
  </w:num>
  <w:num w:numId="25" w16cid:durableId="842166684">
    <w:abstractNumId w:val="0"/>
  </w:num>
  <w:num w:numId="26" w16cid:durableId="1544169902">
    <w:abstractNumId w:val="0"/>
  </w:num>
  <w:num w:numId="27" w16cid:durableId="761217215">
    <w:abstractNumId w:val="0"/>
  </w:num>
  <w:num w:numId="28" w16cid:durableId="1092624322">
    <w:abstractNumId w:val="0"/>
  </w:num>
  <w:num w:numId="29" w16cid:durableId="1708480479">
    <w:abstractNumId w:val="0"/>
  </w:num>
  <w:num w:numId="30" w16cid:durableId="236671421">
    <w:abstractNumId w:val="0"/>
  </w:num>
  <w:num w:numId="31" w16cid:durableId="464542125">
    <w:abstractNumId w:val="0"/>
  </w:num>
  <w:num w:numId="32" w16cid:durableId="786394540">
    <w:abstractNumId w:val="0"/>
  </w:num>
  <w:num w:numId="33" w16cid:durableId="1381708848">
    <w:abstractNumId w:val="0"/>
  </w:num>
  <w:num w:numId="34" w16cid:durableId="1154567883">
    <w:abstractNumId w:val="0"/>
  </w:num>
  <w:num w:numId="35" w16cid:durableId="200167289">
    <w:abstractNumId w:val="0"/>
  </w:num>
  <w:num w:numId="36" w16cid:durableId="582494913">
    <w:abstractNumId w:val="0"/>
  </w:num>
  <w:num w:numId="37" w16cid:durableId="100836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8D"/>
    <w:rsid w:val="00003B6D"/>
    <w:rsid w:val="00005770"/>
    <w:rsid w:val="000067C2"/>
    <w:rsid w:val="00012FBC"/>
    <w:rsid w:val="000231F4"/>
    <w:rsid w:val="000232D7"/>
    <w:rsid w:val="00032C70"/>
    <w:rsid w:val="00043889"/>
    <w:rsid w:val="0004654C"/>
    <w:rsid w:val="00047FCB"/>
    <w:rsid w:val="00050304"/>
    <w:rsid w:val="00055F2B"/>
    <w:rsid w:val="0005623C"/>
    <w:rsid w:val="00073191"/>
    <w:rsid w:val="00074E88"/>
    <w:rsid w:val="0008018C"/>
    <w:rsid w:val="000808F0"/>
    <w:rsid w:val="000831A2"/>
    <w:rsid w:val="000A064F"/>
    <w:rsid w:val="000B361C"/>
    <w:rsid w:val="000B5C7C"/>
    <w:rsid w:val="000C30EA"/>
    <w:rsid w:val="000C4CE6"/>
    <w:rsid w:val="000D5F82"/>
    <w:rsid w:val="000F219D"/>
    <w:rsid w:val="00105717"/>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27C"/>
    <w:rsid w:val="003F2734"/>
    <w:rsid w:val="003F2CDF"/>
    <w:rsid w:val="003F6741"/>
    <w:rsid w:val="00401053"/>
    <w:rsid w:val="004019D0"/>
    <w:rsid w:val="004039DA"/>
    <w:rsid w:val="004116F1"/>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4644"/>
    <w:rsid w:val="00466AB3"/>
    <w:rsid w:val="00475837"/>
    <w:rsid w:val="0047600D"/>
    <w:rsid w:val="004772B9"/>
    <w:rsid w:val="00491647"/>
    <w:rsid w:val="00497525"/>
    <w:rsid w:val="004A041D"/>
    <w:rsid w:val="004A0D2B"/>
    <w:rsid w:val="004A18F4"/>
    <w:rsid w:val="004A5980"/>
    <w:rsid w:val="004A5EE0"/>
    <w:rsid w:val="004B03D5"/>
    <w:rsid w:val="004B4928"/>
    <w:rsid w:val="004C029E"/>
    <w:rsid w:val="004C15DD"/>
    <w:rsid w:val="004C7961"/>
    <w:rsid w:val="004D01C1"/>
    <w:rsid w:val="004D1C84"/>
    <w:rsid w:val="004D7404"/>
    <w:rsid w:val="004E5699"/>
    <w:rsid w:val="004E6AB4"/>
    <w:rsid w:val="004F2442"/>
    <w:rsid w:val="00501B4C"/>
    <w:rsid w:val="005044C4"/>
    <w:rsid w:val="0051619D"/>
    <w:rsid w:val="00523B29"/>
    <w:rsid w:val="0053013A"/>
    <w:rsid w:val="00536369"/>
    <w:rsid w:val="005369BF"/>
    <w:rsid w:val="00536EEA"/>
    <w:rsid w:val="0053718F"/>
    <w:rsid w:val="005558CC"/>
    <w:rsid w:val="005601F5"/>
    <w:rsid w:val="00562F3B"/>
    <w:rsid w:val="005673F9"/>
    <w:rsid w:val="0057416E"/>
    <w:rsid w:val="00574BF0"/>
    <w:rsid w:val="00574C85"/>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5E7D4F"/>
    <w:rsid w:val="00606C99"/>
    <w:rsid w:val="00611A7F"/>
    <w:rsid w:val="00613B39"/>
    <w:rsid w:val="00621371"/>
    <w:rsid w:val="00622BD7"/>
    <w:rsid w:val="00624746"/>
    <w:rsid w:val="00625D96"/>
    <w:rsid w:val="006260C3"/>
    <w:rsid w:val="00630C61"/>
    <w:rsid w:val="00632204"/>
    <w:rsid w:val="006344F5"/>
    <w:rsid w:val="00637C47"/>
    <w:rsid w:val="00640485"/>
    <w:rsid w:val="00641FEC"/>
    <w:rsid w:val="0064331D"/>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66A5"/>
    <w:rsid w:val="006F6C31"/>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CE4"/>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E10C1"/>
    <w:rsid w:val="007F3112"/>
    <w:rsid w:val="0080070B"/>
    <w:rsid w:val="00805232"/>
    <w:rsid w:val="00805509"/>
    <w:rsid w:val="00813679"/>
    <w:rsid w:val="00813D44"/>
    <w:rsid w:val="00816120"/>
    <w:rsid w:val="00823BA5"/>
    <w:rsid w:val="00827887"/>
    <w:rsid w:val="008369C6"/>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97DAA"/>
    <w:rsid w:val="008A0877"/>
    <w:rsid w:val="008A3501"/>
    <w:rsid w:val="008A4656"/>
    <w:rsid w:val="008A48BA"/>
    <w:rsid w:val="008A50D5"/>
    <w:rsid w:val="008A5640"/>
    <w:rsid w:val="008B0AE1"/>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6283"/>
    <w:rsid w:val="009512BD"/>
    <w:rsid w:val="00961A7E"/>
    <w:rsid w:val="00964FF5"/>
    <w:rsid w:val="009655D7"/>
    <w:rsid w:val="00966B3D"/>
    <w:rsid w:val="00982FF4"/>
    <w:rsid w:val="00984C24"/>
    <w:rsid w:val="009850AA"/>
    <w:rsid w:val="00990386"/>
    <w:rsid w:val="009A4569"/>
    <w:rsid w:val="009B1219"/>
    <w:rsid w:val="009B28FF"/>
    <w:rsid w:val="009B5A13"/>
    <w:rsid w:val="009B6DC7"/>
    <w:rsid w:val="009C6B1C"/>
    <w:rsid w:val="009C7715"/>
    <w:rsid w:val="009D01BD"/>
    <w:rsid w:val="009D17FF"/>
    <w:rsid w:val="009D246B"/>
    <w:rsid w:val="009D299B"/>
    <w:rsid w:val="009D442E"/>
    <w:rsid w:val="009D576B"/>
    <w:rsid w:val="009E2039"/>
    <w:rsid w:val="009E2AAA"/>
    <w:rsid w:val="009E411E"/>
    <w:rsid w:val="009E6ECB"/>
    <w:rsid w:val="009F2624"/>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4DDE"/>
    <w:rsid w:val="00AE6A40"/>
    <w:rsid w:val="00AF5FB1"/>
    <w:rsid w:val="00AF6DFC"/>
    <w:rsid w:val="00B02565"/>
    <w:rsid w:val="00B0351C"/>
    <w:rsid w:val="00B10781"/>
    <w:rsid w:val="00B20B4F"/>
    <w:rsid w:val="00B219C4"/>
    <w:rsid w:val="00B23681"/>
    <w:rsid w:val="00B26FCB"/>
    <w:rsid w:val="00B33044"/>
    <w:rsid w:val="00B3335D"/>
    <w:rsid w:val="00B4326D"/>
    <w:rsid w:val="00B44B69"/>
    <w:rsid w:val="00B44E69"/>
    <w:rsid w:val="00B501E4"/>
    <w:rsid w:val="00B533AD"/>
    <w:rsid w:val="00B64AEB"/>
    <w:rsid w:val="00B84570"/>
    <w:rsid w:val="00B8711F"/>
    <w:rsid w:val="00B963BA"/>
    <w:rsid w:val="00B96A83"/>
    <w:rsid w:val="00BA34BA"/>
    <w:rsid w:val="00BA49CC"/>
    <w:rsid w:val="00BA7922"/>
    <w:rsid w:val="00BB6F54"/>
    <w:rsid w:val="00BC3934"/>
    <w:rsid w:val="00BC6F2B"/>
    <w:rsid w:val="00BC7D81"/>
    <w:rsid w:val="00BD1492"/>
    <w:rsid w:val="00BE5147"/>
    <w:rsid w:val="00BE6623"/>
    <w:rsid w:val="00BF7B57"/>
    <w:rsid w:val="00C02F21"/>
    <w:rsid w:val="00C03B78"/>
    <w:rsid w:val="00C06A62"/>
    <w:rsid w:val="00C07C6E"/>
    <w:rsid w:val="00C13A20"/>
    <w:rsid w:val="00C2144A"/>
    <w:rsid w:val="00C34E9C"/>
    <w:rsid w:val="00C37222"/>
    <w:rsid w:val="00C40D8D"/>
    <w:rsid w:val="00C42EEF"/>
    <w:rsid w:val="00C4348A"/>
    <w:rsid w:val="00C46405"/>
    <w:rsid w:val="00C507F5"/>
    <w:rsid w:val="00C73FD8"/>
    <w:rsid w:val="00C81E52"/>
    <w:rsid w:val="00CA2474"/>
    <w:rsid w:val="00CA64FE"/>
    <w:rsid w:val="00CB4EF7"/>
    <w:rsid w:val="00CC1FEB"/>
    <w:rsid w:val="00CC308D"/>
    <w:rsid w:val="00CC6836"/>
    <w:rsid w:val="00CC6F53"/>
    <w:rsid w:val="00CD0AE4"/>
    <w:rsid w:val="00CE52F9"/>
    <w:rsid w:val="00CE6652"/>
    <w:rsid w:val="00CF669E"/>
    <w:rsid w:val="00CF7149"/>
    <w:rsid w:val="00D0151A"/>
    <w:rsid w:val="00D1021E"/>
    <w:rsid w:val="00D128D1"/>
    <w:rsid w:val="00D13EB7"/>
    <w:rsid w:val="00D15DBB"/>
    <w:rsid w:val="00D26359"/>
    <w:rsid w:val="00D32F46"/>
    <w:rsid w:val="00D36511"/>
    <w:rsid w:val="00D40785"/>
    <w:rsid w:val="00D45AC2"/>
    <w:rsid w:val="00D532E4"/>
    <w:rsid w:val="00D57179"/>
    <w:rsid w:val="00D64427"/>
    <w:rsid w:val="00D70E49"/>
    <w:rsid w:val="00D7254B"/>
    <w:rsid w:val="00D772E8"/>
    <w:rsid w:val="00D7782A"/>
    <w:rsid w:val="00D83C02"/>
    <w:rsid w:val="00D84A31"/>
    <w:rsid w:val="00D85154"/>
    <w:rsid w:val="00D856E0"/>
    <w:rsid w:val="00D85A97"/>
    <w:rsid w:val="00D86F05"/>
    <w:rsid w:val="00D919FC"/>
    <w:rsid w:val="00D96F87"/>
    <w:rsid w:val="00DA0626"/>
    <w:rsid w:val="00DA0C24"/>
    <w:rsid w:val="00DA1516"/>
    <w:rsid w:val="00DA1CC3"/>
    <w:rsid w:val="00DB210A"/>
    <w:rsid w:val="00DB524A"/>
    <w:rsid w:val="00DC0924"/>
    <w:rsid w:val="00DC40B0"/>
    <w:rsid w:val="00DD04AB"/>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3BC6"/>
    <w:rsid w:val="00E76CFA"/>
    <w:rsid w:val="00E77C74"/>
    <w:rsid w:val="00E82E42"/>
    <w:rsid w:val="00E8528B"/>
    <w:rsid w:val="00E901A4"/>
    <w:rsid w:val="00E9096D"/>
    <w:rsid w:val="00E90F6D"/>
    <w:rsid w:val="00E94896"/>
    <w:rsid w:val="00E94A61"/>
    <w:rsid w:val="00E959CD"/>
    <w:rsid w:val="00EA1A04"/>
    <w:rsid w:val="00EA2EDD"/>
    <w:rsid w:val="00EB11AC"/>
    <w:rsid w:val="00EB2238"/>
    <w:rsid w:val="00EB2F12"/>
    <w:rsid w:val="00EB4411"/>
    <w:rsid w:val="00EC1806"/>
    <w:rsid w:val="00EC351B"/>
    <w:rsid w:val="00EC433B"/>
    <w:rsid w:val="00EC75E5"/>
    <w:rsid w:val="00ED2771"/>
    <w:rsid w:val="00ED28FF"/>
    <w:rsid w:val="00ED5609"/>
    <w:rsid w:val="00ED5959"/>
    <w:rsid w:val="00EE10A4"/>
    <w:rsid w:val="00EE503D"/>
    <w:rsid w:val="00EF2986"/>
    <w:rsid w:val="00EF435A"/>
    <w:rsid w:val="00F00B7A"/>
    <w:rsid w:val="00F02A3A"/>
    <w:rsid w:val="00F12860"/>
    <w:rsid w:val="00F206CA"/>
    <w:rsid w:val="00F23D24"/>
    <w:rsid w:val="00F24A70"/>
    <w:rsid w:val="00F40136"/>
    <w:rsid w:val="00F40A79"/>
    <w:rsid w:val="00F42B7A"/>
    <w:rsid w:val="00F50C94"/>
    <w:rsid w:val="00F539BD"/>
    <w:rsid w:val="00F6094E"/>
    <w:rsid w:val="00F62C40"/>
    <w:rsid w:val="00F64076"/>
    <w:rsid w:val="00F64474"/>
    <w:rsid w:val="00F67996"/>
    <w:rsid w:val="00F7525E"/>
    <w:rsid w:val="00F76BB2"/>
    <w:rsid w:val="00F868A6"/>
    <w:rsid w:val="00F9130F"/>
    <w:rsid w:val="00F917BA"/>
    <w:rsid w:val="00F92390"/>
    <w:rsid w:val="00F9249E"/>
    <w:rsid w:val="00F94ED9"/>
    <w:rsid w:val="00F973DD"/>
    <w:rsid w:val="00FA1042"/>
    <w:rsid w:val="00FA2C95"/>
    <w:rsid w:val="00FA4BB5"/>
    <w:rsid w:val="00FB4946"/>
    <w:rsid w:val="00FB58C5"/>
    <w:rsid w:val="00FB67C6"/>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DBA1E"/>
  <w15:chartTrackingRefBased/>
  <w15:docId w15:val="{E9B14065-600E-43D4-B5B1-ACBDE7DE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155</TotalTime>
  <Pages>1</Pages>
  <Words>1359</Words>
  <Characters>7751</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OPPO(Zonda)</dc:creator>
  <cp:keywords/>
  <dc:description/>
  <cp:lastModifiedBy>OPPO(Zonda)</cp:lastModifiedBy>
  <cp:revision>34</cp:revision>
  <dcterms:created xsi:type="dcterms:W3CDTF">2022-09-21T00:49:00Z</dcterms:created>
  <dcterms:modified xsi:type="dcterms:W3CDTF">2022-09-30T01:52:00Z</dcterms:modified>
</cp:coreProperties>
</file>